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6" w:rsidRPr="000E5BF7" w:rsidRDefault="00084096" w:rsidP="004515F1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084096" w:rsidRPr="000E5BF7" w:rsidRDefault="00084096" w:rsidP="004515F1">
      <w:pPr>
        <w:pStyle w:val="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</w:rPr>
      </w:pPr>
      <w:r w:rsidRPr="000E5BF7">
        <w:rPr>
          <w:spacing w:val="-2"/>
        </w:rPr>
        <w:t>Національний технічний університет</w:t>
      </w:r>
    </w:p>
    <w:p w:rsidR="00084096" w:rsidRPr="000E5BF7" w:rsidRDefault="00084096" w:rsidP="004515F1">
      <w:pPr>
        <w:pStyle w:val="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</w:rPr>
      </w:pPr>
      <w:r w:rsidRPr="000E5BF7">
        <w:rPr>
          <w:spacing w:val="-2"/>
        </w:rPr>
        <w:t>«Дніпровська політехніка»</w:t>
      </w:r>
    </w:p>
    <w:p w:rsidR="00084096" w:rsidRPr="006E5ACF" w:rsidRDefault="00084096" w:rsidP="004515F1">
      <w:pPr>
        <w:pStyle w:val="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bCs/>
          <w:spacing w:val="-2"/>
        </w:rPr>
      </w:pPr>
    </w:p>
    <w:p w:rsidR="00084096" w:rsidRPr="006E5ACF" w:rsidRDefault="00084096" w:rsidP="004515F1">
      <w:pPr>
        <w:pStyle w:val="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bCs/>
          <w:spacing w:val="-2"/>
        </w:rPr>
      </w:pPr>
    </w:p>
    <w:p w:rsidR="00084096" w:rsidRPr="000E5BF7" w:rsidRDefault="00084096" w:rsidP="004515F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Кафедра іноземних мов</w:t>
      </w:r>
    </w:p>
    <w:tbl>
      <w:tblPr>
        <w:tblW w:w="0" w:type="auto"/>
        <w:tblInd w:w="-106" w:type="dxa"/>
        <w:tblLayout w:type="fixed"/>
        <w:tblLook w:val="00A0"/>
      </w:tblPr>
      <w:tblGrid>
        <w:gridCol w:w="4928"/>
        <w:gridCol w:w="4926"/>
      </w:tblGrid>
      <w:tr w:rsidR="00084096" w:rsidRPr="006E5ACF">
        <w:trPr>
          <w:trHeight w:val="1458"/>
        </w:trPr>
        <w:tc>
          <w:tcPr>
            <w:tcW w:w="4928" w:type="dxa"/>
          </w:tcPr>
          <w:p w:rsidR="00084096" w:rsidRPr="002E652D" w:rsidRDefault="00084096" w:rsidP="000A21D1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84096" w:rsidRPr="002E652D" w:rsidRDefault="00084096" w:rsidP="000A21D1">
            <w:pPr>
              <w:ind w:left="34"/>
              <w:jc w:val="center"/>
              <w:rPr>
                <w:b/>
                <w:bCs/>
              </w:rPr>
            </w:pPr>
          </w:p>
          <w:p w:rsidR="00084096" w:rsidRPr="002E652D" w:rsidRDefault="00084096" w:rsidP="000A21D1">
            <w:pPr>
              <w:ind w:left="34"/>
              <w:jc w:val="center"/>
              <w:rPr>
                <w:b/>
                <w:bCs/>
              </w:rPr>
            </w:pPr>
            <w:r w:rsidRPr="002E652D">
              <w:rPr>
                <w:b/>
                <w:bCs/>
                <w:sz w:val="22"/>
                <w:szCs w:val="22"/>
              </w:rPr>
              <w:t>«</w:t>
            </w:r>
            <w:r w:rsidRPr="002E652D">
              <w:rPr>
                <w:b/>
                <w:bCs/>
              </w:rPr>
              <w:t>ЗАТВЕРДЖЕНО»</w:t>
            </w:r>
          </w:p>
          <w:p w:rsidR="00084096" w:rsidRPr="002E652D" w:rsidRDefault="00084096" w:rsidP="000A21D1">
            <w:pPr>
              <w:spacing w:after="120"/>
              <w:ind w:left="34"/>
              <w:jc w:val="center"/>
              <w:rPr>
                <w:color w:val="191919"/>
                <w:spacing w:val="-8"/>
              </w:rPr>
            </w:pPr>
            <w:r w:rsidRPr="002E652D">
              <w:rPr>
                <w:color w:val="191919"/>
                <w:spacing w:val="-8"/>
              </w:rPr>
              <w:t xml:space="preserve">завідувач кафедри </w:t>
            </w:r>
          </w:p>
          <w:p w:rsidR="00084096" w:rsidRPr="002E652D" w:rsidRDefault="00084096" w:rsidP="000A21D1">
            <w:pPr>
              <w:spacing w:after="240"/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Кострицька С.І.</w:t>
            </w:r>
            <w:r w:rsidRPr="006E5ACF">
              <w:t xml:space="preserve"> _________ «____»____________20</w:t>
            </w:r>
            <w:r>
              <w:t>_____</w:t>
            </w:r>
            <w:r w:rsidRPr="006E5ACF">
              <w:t xml:space="preserve"> року</w:t>
            </w:r>
          </w:p>
        </w:tc>
      </w:tr>
    </w:tbl>
    <w:p w:rsidR="00084096" w:rsidRPr="006E5ACF" w:rsidRDefault="00084096" w:rsidP="004515F1">
      <w:pPr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>РОБОЧА ПРОГРАМА НАВЧАЛЬНОЇ ДИСЦИПЛІНИ</w:t>
      </w:r>
    </w:p>
    <w:p w:rsidR="00084096" w:rsidRPr="00FD72A1" w:rsidRDefault="00084096" w:rsidP="004515F1">
      <w:pPr>
        <w:tabs>
          <w:tab w:val="left" w:pos="-18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084096" w:rsidRPr="001B1297" w:rsidRDefault="00084096" w:rsidP="004515F1">
      <w:pPr>
        <w:rPr>
          <w:lang w:val="ru-RU"/>
        </w:rPr>
      </w:pPr>
    </w:p>
    <w:p w:rsidR="00084096" w:rsidRPr="00CF0B94" w:rsidRDefault="00084096" w:rsidP="004515F1">
      <w:pPr>
        <w:pStyle w:val="BodyText"/>
        <w:tabs>
          <w:tab w:val="left" w:pos="-180"/>
        </w:tabs>
        <w:ind w:right="-82"/>
        <w:jc w:val="center"/>
        <w:rPr>
          <w:lang w:val="ru-RU"/>
        </w:rPr>
      </w:pPr>
      <w:r>
        <w:t>“Іноземна мова для академічної мобільності”</w:t>
      </w:r>
    </w:p>
    <w:p w:rsidR="00084096" w:rsidRPr="006E5ACF" w:rsidRDefault="00084096" w:rsidP="004515F1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402"/>
        <w:gridCol w:w="3969"/>
      </w:tblGrid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>
              <w:t>всі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>
              <w:t>всі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>
              <w:t>бакалавр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/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pPr>
              <w:rPr>
                <w:color w:val="FF0000"/>
              </w:rPr>
            </w:pP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4096" w:rsidRPr="00B92F53" w:rsidRDefault="00084096" w:rsidP="000A21D1">
            <w:r w:rsidRPr="00B92F53">
              <w:t>вибіркова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>
              <w:t>3 кредити</w:t>
            </w:r>
            <w:r w:rsidRPr="00B92F53">
              <w:t xml:space="preserve"> ЄКТС</w:t>
            </w:r>
            <w:r>
              <w:t xml:space="preserve"> (90</w:t>
            </w:r>
            <w:r w:rsidRPr="00B92F53">
              <w:t xml:space="preserve"> годин)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>
              <w:t>диференційований залік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>
              <w:rPr>
                <w:lang w:val="ru-RU"/>
              </w:rPr>
              <w:t>7</w:t>
            </w:r>
            <w:r w:rsidRPr="00B92F53">
              <w:t>-й семестр</w:t>
            </w:r>
            <w:r>
              <w:t xml:space="preserve"> (13 чверть)</w:t>
            </w:r>
          </w:p>
        </w:tc>
      </w:tr>
      <w:tr w:rsidR="00084096" w:rsidRPr="00B92F53">
        <w:tc>
          <w:tcPr>
            <w:tcW w:w="3402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084096" w:rsidRPr="00B92F53" w:rsidRDefault="00084096" w:rsidP="000A21D1">
            <w:r>
              <w:t>англійська</w:t>
            </w:r>
          </w:p>
        </w:tc>
      </w:tr>
    </w:tbl>
    <w:p w:rsidR="00084096" w:rsidRPr="006E5ACF" w:rsidRDefault="00084096" w:rsidP="004515F1">
      <w:pPr>
        <w:spacing w:before="80"/>
      </w:pPr>
    </w:p>
    <w:p w:rsidR="00084096" w:rsidRPr="006E5ACF" w:rsidRDefault="00084096" w:rsidP="004515F1">
      <w:pPr>
        <w:spacing w:before="80"/>
        <w:ind w:firstLine="1843"/>
        <w:rPr>
          <w:i/>
          <w:iCs/>
          <w:sz w:val="16"/>
          <w:szCs w:val="16"/>
        </w:rPr>
      </w:pPr>
      <w:r w:rsidRPr="006E5ACF">
        <w:t xml:space="preserve">Викладачі: _______________________________________ </w:t>
      </w:r>
    </w:p>
    <w:p w:rsidR="00084096" w:rsidRPr="006E5ACF" w:rsidRDefault="00084096" w:rsidP="004515F1">
      <w:pPr>
        <w:jc w:val="center"/>
        <w:rPr>
          <w:i/>
          <w:iCs/>
          <w:sz w:val="16"/>
          <w:szCs w:val="16"/>
        </w:rPr>
      </w:pPr>
    </w:p>
    <w:p w:rsidR="00084096" w:rsidRPr="006E5ACF" w:rsidRDefault="00084096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084096" w:rsidRPr="006E5ACF" w:rsidRDefault="00084096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084096" w:rsidRPr="006E5ACF" w:rsidRDefault="00084096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084096" w:rsidRPr="006E5ACF" w:rsidRDefault="00084096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084096" w:rsidRPr="006E5ACF" w:rsidRDefault="00084096" w:rsidP="004515F1">
      <w:pPr>
        <w:ind w:left="1134"/>
        <w:jc w:val="center"/>
        <w:rPr>
          <w:sz w:val="22"/>
          <w:szCs w:val="22"/>
          <w:vertAlign w:val="superscript"/>
        </w:rPr>
      </w:pPr>
    </w:p>
    <w:p w:rsidR="00084096" w:rsidRDefault="00084096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084096" w:rsidRDefault="00084096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084096" w:rsidRPr="006E5ACF" w:rsidRDefault="00084096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084096" w:rsidRPr="006E5ACF" w:rsidRDefault="00084096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084096" w:rsidRPr="006E5ACF" w:rsidRDefault="00084096" w:rsidP="004515F1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Дніпро</w:t>
      </w:r>
    </w:p>
    <w:p w:rsidR="00084096" w:rsidRPr="006E5ACF" w:rsidRDefault="00084096" w:rsidP="004515F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НТУ «ДП»</w:t>
      </w:r>
    </w:p>
    <w:p w:rsidR="00084096" w:rsidRPr="006E5ACF" w:rsidRDefault="00084096" w:rsidP="00FD03B9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6E5ACF">
        <w:rPr>
          <w:b/>
          <w:bCs/>
          <w:color w:val="000000"/>
          <w:sz w:val="28"/>
          <w:szCs w:val="28"/>
        </w:rPr>
        <w:br w:type="page"/>
      </w:r>
    </w:p>
    <w:p w:rsidR="00084096" w:rsidRPr="00D857BB" w:rsidRDefault="00084096" w:rsidP="004515F1">
      <w:pPr>
        <w:pStyle w:val="BodyText"/>
        <w:ind w:firstLine="567"/>
        <w:jc w:val="both"/>
        <w:rPr>
          <w:b w:val="0"/>
          <w:bCs w:val="0"/>
          <w:sz w:val="28"/>
          <w:szCs w:val="28"/>
        </w:rPr>
      </w:pPr>
      <w:r w:rsidRPr="00D857BB">
        <w:rPr>
          <w:b w:val="0"/>
          <w:bCs w:val="0"/>
          <w:sz w:val="28"/>
          <w:szCs w:val="28"/>
        </w:rPr>
        <w:t xml:space="preserve">Робоча програма навчальної </w:t>
      </w:r>
      <w:r w:rsidRPr="00504DAF">
        <w:rPr>
          <w:b w:val="0"/>
          <w:bCs w:val="0"/>
          <w:sz w:val="28"/>
          <w:szCs w:val="28"/>
        </w:rPr>
        <w:t xml:space="preserve">дисципліни </w:t>
      </w:r>
      <w:r w:rsidRPr="00504DAF">
        <w:rPr>
          <w:b w:val="0"/>
          <w:bCs w:val="0"/>
          <w:color w:val="000000"/>
          <w:sz w:val="28"/>
          <w:szCs w:val="28"/>
        </w:rPr>
        <w:t>«</w:t>
      </w:r>
      <w:r w:rsidRPr="00504DAF">
        <w:rPr>
          <w:b w:val="0"/>
          <w:bCs w:val="0"/>
          <w:sz w:val="28"/>
          <w:szCs w:val="28"/>
        </w:rPr>
        <w:t>Іноземна мова для академічної мобільності» для бакалаврів усіх спеціальностей</w:t>
      </w:r>
      <w:r w:rsidRPr="00D857BB">
        <w:rPr>
          <w:b w:val="0"/>
          <w:bCs w:val="0"/>
          <w:sz w:val="28"/>
          <w:szCs w:val="28"/>
        </w:rPr>
        <w:t xml:space="preserve"> / Нац. </w:t>
      </w:r>
      <w:r>
        <w:rPr>
          <w:b w:val="0"/>
          <w:bCs w:val="0"/>
          <w:sz w:val="28"/>
          <w:szCs w:val="28"/>
        </w:rPr>
        <w:t>техн</w:t>
      </w:r>
      <w:r w:rsidRPr="00D857BB">
        <w:rPr>
          <w:b w:val="0"/>
          <w:bCs w:val="0"/>
          <w:sz w:val="28"/>
          <w:szCs w:val="28"/>
        </w:rPr>
        <w:t>. ун-т.</w:t>
      </w:r>
      <w:r>
        <w:rPr>
          <w:b w:val="0"/>
          <w:bCs w:val="0"/>
          <w:sz w:val="28"/>
          <w:szCs w:val="28"/>
        </w:rPr>
        <w:t xml:space="preserve"> «Дніпровська політехніка», каф. іноз.мов</w:t>
      </w:r>
      <w:r w:rsidRPr="00D857BB">
        <w:rPr>
          <w:b w:val="0"/>
          <w:bCs w:val="0"/>
          <w:sz w:val="28"/>
          <w:szCs w:val="28"/>
        </w:rPr>
        <w:t xml:space="preserve"> – Д. : </w:t>
      </w:r>
      <w:r>
        <w:rPr>
          <w:b w:val="0"/>
          <w:bCs w:val="0"/>
          <w:sz w:val="28"/>
          <w:szCs w:val="28"/>
        </w:rPr>
        <w:t>НТУ «ДП»</w:t>
      </w:r>
      <w:r w:rsidRPr="00D857BB">
        <w:rPr>
          <w:b w:val="0"/>
          <w:bCs w:val="0"/>
          <w:sz w:val="28"/>
          <w:szCs w:val="28"/>
        </w:rPr>
        <w:t>, 201</w:t>
      </w:r>
      <w:r>
        <w:rPr>
          <w:b w:val="0"/>
          <w:bCs w:val="0"/>
          <w:sz w:val="28"/>
          <w:szCs w:val="28"/>
        </w:rPr>
        <w:t>8. –12</w:t>
      </w:r>
      <w:bookmarkStart w:id="0" w:name="_GoBack"/>
      <w:bookmarkEnd w:id="0"/>
      <w:r w:rsidRPr="00D857BB">
        <w:rPr>
          <w:b w:val="0"/>
          <w:bCs w:val="0"/>
          <w:sz w:val="28"/>
          <w:szCs w:val="28"/>
        </w:rPr>
        <w:t>с.</w:t>
      </w:r>
    </w:p>
    <w:p w:rsidR="00084096" w:rsidRDefault="00084096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084096" w:rsidRDefault="00084096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084096" w:rsidRDefault="00084096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084096" w:rsidRDefault="00084096" w:rsidP="004515F1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B42">
        <w:rPr>
          <w:sz w:val="28"/>
          <w:szCs w:val="28"/>
        </w:rPr>
        <w:t xml:space="preserve"> </w:t>
      </w:r>
      <w:r w:rsidRPr="000B268E">
        <w:rPr>
          <w:sz w:val="28"/>
          <w:szCs w:val="28"/>
        </w:rPr>
        <w:t>Кострицька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>
        <w:rPr>
          <w:sz w:val="28"/>
          <w:szCs w:val="28"/>
        </w:rPr>
        <w:t xml:space="preserve">   </w:t>
      </w:r>
    </w:p>
    <w:p w:rsidR="00084096" w:rsidRDefault="00084096" w:rsidP="004515F1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:rsidR="00084096" w:rsidRDefault="00084096" w:rsidP="00506F8D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>
        <w:rPr>
          <w:sz w:val="28"/>
          <w:szCs w:val="28"/>
        </w:rPr>
        <w:t>Хазова Оксана Валеріївна, викладач кафедри іноземних мов</w:t>
      </w:r>
    </w:p>
    <w:p w:rsidR="00084096" w:rsidRDefault="00084096" w:rsidP="00506F8D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8E">
        <w:rPr>
          <w:sz w:val="28"/>
          <w:szCs w:val="28"/>
        </w:rPr>
        <w:t>Зуєнок Ірина Іванівна, доц. кафедри іноземних мов;</w:t>
      </w:r>
    </w:p>
    <w:p w:rsidR="00084096" w:rsidRDefault="00084096" w:rsidP="004515F1">
      <w:pPr>
        <w:spacing w:before="240"/>
        <w:ind w:firstLine="567"/>
        <w:jc w:val="both"/>
        <w:rPr>
          <w:sz w:val="28"/>
          <w:szCs w:val="28"/>
        </w:rPr>
      </w:pPr>
    </w:p>
    <w:p w:rsidR="00084096" w:rsidRPr="004446AF" w:rsidRDefault="00084096" w:rsidP="004515F1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084096" w:rsidRPr="004446AF" w:rsidRDefault="00084096" w:rsidP="004515F1">
      <w:pPr>
        <w:pStyle w:val="ListParagraph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084096" w:rsidRDefault="00084096" w:rsidP="004515F1">
      <w:pPr>
        <w:pStyle w:val="ListParagraph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084096" w:rsidRDefault="00084096" w:rsidP="004515F1">
      <w:pPr>
        <w:pStyle w:val="ListParagraph"/>
        <w:suppressLineNumbers/>
        <w:suppressAutoHyphens/>
        <w:ind w:left="567"/>
        <w:jc w:val="both"/>
        <w:rPr>
          <w:sz w:val="28"/>
          <w:szCs w:val="28"/>
        </w:rPr>
      </w:pPr>
    </w:p>
    <w:p w:rsidR="00084096" w:rsidRPr="00225B42" w:rsidRDefault="00084096" w:rsidP="004515F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освіти.</w:t>
      </w:r>
    </w:p>
    <w:p w:rsidR="00084096" w:rsidRDefault="00084096" w:rsidP="004515F1">
      <w:pPr>
        <w:pStyle w:val="FootnoteText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нагоді для формування змісту підвищення кваліфікації науково-педагогічних працівників кафедр університету.</w:t>
      </w:r>
    </w:p>
    <w:p w:rsidR="00084096" w:rsidRDefault="00084096" w:rsidP="004515F1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084096" w:rsidRPr="006E5ACF" w:rsidRDefault="00084096" w:rsidP="004515F1">
      <w:pPr>
        <w:ind w:firstLine="567"/>
        <w:jc w:val="both"/>
        <w:rPr>
          <w:sz w:val="28"/>
          <w:szCs w:val="28"/>
        </w:rPr>
      </w:pPr>
    </w:p>
    <w:p w:rsidR="00084096" w:rsidRPr="006E5ACF" w:rsidRDefault="00084096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084096" w:rsidRPr="00867B60" w:rsidRDefault="00084096" w:rsidP="004515F1">
      <w:pPr>
        <w:pStyle w:val="TOCHeading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ЗМІСТ</w:t>
      </w:r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Hyperlink"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6" w:history="1">
        <w:r w:rsidRPr="00867B60">
          <w:rPr>
            <w:rStyle w:val="Hyperlink"/>
            <w:noProof/>
            <w:sz w:val="28"/>
            <w:szCs w:val="28"/>
          </w:rPr>
          <w:t>2 ОЧІКУВАНІ ДИСЦИПЛІНАРНІ РЕЗУЛЬТАТИ НАВЧАННЯ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7" w:history="1">
        <w:r w:rsidRPr="00867B60">
          <w:rPr>
            <w:rStyle w:val="Hyperlink"/>
            <w:noProof/>
            <w:sz w:val="28"/>
            <w:szCs w:val="28"/>
          </w:rPr>
          <w:t>3 БАЗОВІ ДИСЦИПЛІНИ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8" w:history="1">
        <w:r w:rsidRPr="00867B60">
          <w:rPr>
            <w:rStyle w:val="Hyperlink"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5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9" w:history="1">
        <w:r w:rsidRPr="00867B60">
          <w:rPr>
            <w:rStyle w:val="Hyperlink"/>
            <w:noProof/>
            <w:sz w:val="28"/>
            <w:szCs w:val="28"/>
          </w:rPr>
          <w:t>5 ПРОГРАМА ДИСЦИПЛІНИ ЗА ВИДАМИ НАВЧАЛЬНИХ ЗАНЯТЬ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5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0" w:history="1">
        <w:r w:rsidRPr="00867B60">
          <w:rPr>
            <w:rStyle w:val="Hyperlink"/>
            <w:noProof/>
            <w:sz w:val="28"/>
            <w:szCs w:val="28"/>
          </w:rPr>
          <w:t>6 ОЦІНЮВАННЯ РЕЗУЛЬТАТІВ НАВЧАННЯ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6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1" w:history="1">
        <w:r w:rsidRPr="00867B60">
          <w:rPr>
            <w:rStyle w:val="Hyperlink"/>
            <w:noProof/>
            <w:sz w:val="28"/>
            <w:szCs w:val="28"/>
          </w:rPr>
          <w:t>6.1 Шкали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6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2" w:history="1">
        <w:r w:rsidRPr="00867B60">
          <w:rPr>
            <w:rStyle w:val="Hyperlink"/>
            <w:noProof/>
            <w:sz w:val="28"/>
            <w:szCs w:val="28"/>
          </w:rPr>
          <w:t>6.2 Засоби та процедури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7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3" w:history="1">
        <w:r w:rsidRPr="00867B60">
          <w:rPr>
            <w:rStyle w:val="Hyperlink"/>
            <w:noProof/>
            <w:sz w:val="28"/>
            <w:szCs w:val="28"/>
          </w:rPr>
          <w:t>6.3 Критерії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8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4" w:history="1">
        <w:r w:rsidRPr="00867B60">
          <w:rPr>
            <w:rStyle w:val="Hyperlink"/>
            <w:noProof/>
            <w:sz w:val="28"/>
            <w:szCs w:val="28"/>
          </w:rPr>
          <w:t>7 ІНСТРУМЕНТИ, ОБЛАДНАННЯ ТА ПРОГРАМНЕ ЗАБЕЗПЕЧЕННЯ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11</w:t>
        </w:r>
      </w:hyperlink>
    </w:p>
    <w:p w:rsidR="00084096" w:rsidRPr="00867B60" w:rsidRDefault="00084096" w:rsidP="004515F1">
      <w:pPr>
        <w:pStyle w:val="TOC1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5" w:history="1">
        <w:r w:rsidRPr="00867B60">
          <w:rPr>
            <w:rStyle w:val="Hyperlink"/>
            <w:noProof/>
            <w:sz w:val="28"/>
            <w:szCs w:val="28"/>
          </w:rPr>
          <w:t>8 РЕКОМЕНДОВАНІ ДЖЕРЕЛА ІНФОРМАЦІЇ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11</w:t>
        </w:r>
      </w:hyperlink>
    </w:p>
    <w:p w:rsidR="00084096" w:rsidRPr="00AC78DA" w:rsidRDefault="00084096" w:rsidP="004515F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084096" w:rsidRPr="002B0B64" w:rsidRDefault="00084096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084096" w:rsidRPr="006E5ACF" w:rsidRDefault="00084096" w:rsidP="004515F1">
      <w:pPr>
        <w:pStyle w:val="Heading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МЕТА НАВЧАЛЬНОЇ ДИЦИПЛІНИ</w:t>
      </w:r>
      <w:bookmarkEnd w:id="1"/>
    </w:p>
    <w:p w:rsidR="00084096" w:rsidRPr="006E5ACF" w:rsidRDefault="00084096" w:rsidP="004515F1">
      <w:pPr>
        <w:pStyle w:val="BodyTextIndent3"/>
        <w:widowControl w:val="0"/>
        <w:spacing w:before="240" w:after="240"/>
        <w:ind w:left="0" w:firstLine="567"/>
        <w:rPr>
          <w:spacing w:val="0"/>
        </w:rPr>
      </w:pPr>
      <w:r>
        <w:rPr>
          <w:color w:val="000000"/>
          <w:spacing w:val="0"/>
        </w:rPr>
        <w:t>В освітньо-професійних програмах</w:t>
      </w:r>
      <w:r w:rsidRPr="006E5ACF">
        <w:rPr>
          <w:color w:val="000000"/>
          <w:spacing w:val="0"/>
        </w:rPr>
        <w:t xml:space="preserve"> </w:t>
      </w:r>
      <w:r>
        <w:rPr>
          <w:color w:val="000000"/>
          <w:spacing w:val="0"/>
        </w:rPr>
        <w:t>Національного технічного університету «Дніпровська політехніка» різних спеціальностей</w:t>
      </w:r>
      <w:r w:rsidRPr="006E5ACF">
        <w:rPr>
          <w:spacing w:val="0"/>
        </w:rPr>
        <w:t xml:space="preserve"> </w:t>
      </w:r>
      <w:r w:rsidRPr="006E5ACF">
        <w:rPr>
          <w:color w:val="000000"/>
          <w:spacing w:val="0"/>
        </w:rPr>
        <w:t xml:space="preserve">здійснено </w:t>
      </w:r>
      <w:r w:rsidRPr="006E5ACF">
        <w:rPr>
          <w:spacing w:val="0"/>
        </w:rPr>
        <w:t xml:space="preserve">розподіл програмних результатів навчання </w:t>
      </w:r>
      <w:r>
        <w:rPr>
          <w:spacing w:val="0"/>
        </w:rPr>
        <w:t xml:space="preserve">(ПРН) </w:t>
      </w:r>
      <w:r w:rsidRPr="006E5ACF">
        <w:rPr>
          <w:spacing w:val="0"/>
        </w:rPr>
        <w:t xml:space="preserve">за організаційними формами освітнього процесу. </w:t>
      </w:r>
      <w:r>
        <w:rPr>
          <w:spacing w:val="0"/>
        </w:rPr>
        <w:t>Зокрема, до дисципліни</w:t>
      </w:r>
      <w:r w:rsidRPr="006E5ACF">
        <w:rPr>
          <w:spacing w:val="0"/>
        </w:rPr>
        <w:t xml:space="preserve"> «</w:t>
      </w:r>
      <w:r>
        <w:rPr>
          <w:spacing w:val="0"/>
        </w:rPr>
        <w:t>Іноземна мова для академічної мобільності» можна віднести</w:t>
      </w:r>
      <w:r w:rsidRPr="006E5ACF">
        <w:rPr>
          <w:spacing w:val="0"/>
        </w:rPr>
        <w:t xml:space="preserve"> такі результати навчання: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8744"/>
      </w:tblGrid>
      <w:tr w:rsidR="00084096" w:rsidRPr="008655EC">
        <w:tc>
          <w:tcPr>
            <w:tcW w:w="432" w:type="pct"/>
          </w:tcPr>
          <w:p w:rsidR="00084096" w:rsidRPr="008655EC" w:rsidRDefault="00084096" w:rsidP="000A21D1">
            <w:pPr>
              <w:rPr>
                <w:shd w:val="clear" w:color="auto" w:fill="FFFFFF"/>
              </w:rPr>
            </w:pPr>
            <w:bookmarkStart w:id="3" w:name="_Hlk497473763"/>
            <w:r>
              <w:t>ЗР</w:t>
            </w:r>
            <w:r w:rsidRPr="00EA7DEB">
              <w:t>2</w:t>
            </w:r>
          </w:p>
        </w:tc>
        <w:tc>
          <w:tcPr>
            <w:tcW w:w="4568" w:type="pct"/>
          </w:tcPr>
          <w:p w:rsidR="00084096" w:rsidRPr="00942013" w:rsidRDefault="00084096" w:rsidP="000A21D1">
            <w:pPr>
              <w:rPr>
                <w:lang w:val="ru-RU"/>
              </w:rPr>
            </w:pPr>
            <w:r>
              <w:t xml:space="preserve">Спілкуватися  іноземною мовою.  </w:t>
            </w:r>
          </w:p>
          <w:p w:rsidR="00084096" w:rsidRPr="00942013" w:rsidRDefault="00084096" w:rsidP="000A21D1">
            <w:pPr>
              <w:rPr>
                <w:lang w:val="ru-RU"/>
              </w:rPr>
            </w:pPr>
          </w:p>
        </w:tc>
      </w:tr>
      <w:tr w:rsidR="00084096" w:rsidRPr="008655EC">
        <w:tc>
          <w:tcPr>
            <w:tcW w:w="432" w:type="pct"/>
          </w:tcPr>
          <w:p w:rsidR="00084096" w:rsidRDefault="00084096" w:rsidP="000A21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ЗР6</w:t>
            </w:r>
          </w:p>
        </w:tc>
        <w:tc>
          <w:tcPr>
            <w:tcW w:w="4568" w:type="pct"/>
          </w:tcPr>
          <w:p w:rsidR="00084096" w:rsidRPr="00EA7DEB" w:rsidRDefault="00084096" w:rsidP="00A23A7C">
            <w:pPr>
              <w:rPr>
                <w:color w:val="000000"/>
              </w:rPr>
            </w:pPr>
            <w:r w:rsidRPr="00EA7DEB">
              <w:rPr>
                <w:color w:val="000000"/>
              </w:rPr>
              <w:t>Володіти навичками міжособистісної взаємодії</w:t>
            </w:r>
          </w:p>
        </w:tc>
      </w:tr>
      <w:tr w:rsidR="00084096" w:rsidRPr="008655EC">
        <w:tc>
          <w:tcPr>
            <w:tcW w:w="432" w:type="pct"/>
          </w:tcPr>
          <w:p w:rsidR="00084096" w:rsidRDefault="00084096" w:rsidP="000A21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ЗР9</w:t>
            </w:r>
          </w:p>
        </w:tc>
        <w:tc>
          <w:tcPr>
            <w:tcW w:w="4568" w:type="pct"/>
          </w:tcPr>
          <w:p w:rsidR="00084096" w:rsidRPr="00EA7DEB" w:rsidRDefault="00084096" w:rsidP="00A23A7C">
            <w:pPr>
              <w:rPr>
                <w:color w:val="000000"/>
              </w:rPr>
            </w:pPr>
            <w:r w:rsidRPr="00D21820">
              <w:rPr>
                <w:color w:val="000000"/>
              </w:rPr>
              <w:t>Здатність вчитися і оволодівати сучасними знаннями</w:t>
            </w:r>
          </w:p>
        </w:tc>
      </w:tr>
    </w:tbl>
    <w:bookmarkEnd w:id="3"/>
    <w:p w:rsidR="00084096" w:rsidRPr="006E5ACF" w:rsidRDefault="00084096" w:rsidP="004515F1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bCs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r>
        <w:rPr>
          <w:sz w:val="28"/>
          <w:szCs w:val="28"/>
          <w:lang w:eastAsia="uk-UA"/>
        </w:rPr>
        <w:t>іншомовних комунікативних компетентностей</w:t>
      </w:r>
      <w:r w:rsidRPr="006E5AC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необхідних для ефективної академічної мобільності </w:t>
      </w:r>
    </w:p>
    <w:p w:rsidR="00084096" w:rsidRDefault="00084096" w:rsidP="004515F1">
      <w:pPr>
        <w:pStyle w:val="BodyTextIndent3"/>
        <w:widowControl w:val="0"/>
        <w:spacing w:before="120"/>
        <w:ind w:left="0" w:firstLine="567"/>
        <w:rPr>
          <w:spacing w:val="0"/>
        </w:rPr>
      </w:pPr>
      <w:r w:rsidRPr="00322396">
        <w:rPr>
          <w:b/>
          <w:bCs/>
          <w:spacing w:val="0"/>
        </w:rPr>
        <w:t>Завдання дисципліни:</w:t>
      </w:r>
      <w:r>
        <w:rPr>
          <w:b/>
          <w:bCs/>
          <w:spacing w:val="0"/>
        </w:rPr>
        <w:t xml:space="preserve"> </w:t>
      </w:r>
      <w:r>
        <w:rPr>
          <w:spacing w:val="0"/>
        </w:rPr>
        <w:t>підготувати студентів до участі у програмах академічної мобільності, що стимулюватиме їх подальший академічний та професійний розвиток.</w:t>
      </w:r>
    </w:p>
    <w:p w:rsidR="00084096" w:rsidRPr="006E5ACF" w:rsidRDefault="00084096" w:rsidP="004515F1">
      <w:pPr>
        <w:pStyle w:val="Heading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865"/>
        <w:gridCol w:w="7762"/>
      </w:tblGrid>
      <w:tr w:rsidR="00084096" w:rsidRPr="000D03FA">
        <w:trPr>
          <w:tblHeader/>
        </w:trPr>
        <w:tc>
          <w:tcPr>
            <w:tcW w:w="493" w:type="pct"/>
            <w:vMerge w:val="restart"/>
            <w:vAlign w:val="center"/>
          </w:tcPr>
          <w:p w:rsidR="00084096" w:rsidRPr="008655EC" w:rsidRDefault="00084096" w:rsidP="000A21D1">
            <w:pPr>
              <w:jc w:val="center"/>
              <w:rPr>
                <w:b/>
                <w:bCs/>
              </w:rPr>
            </w:pPr>
            <w:r w:rsidRPr="008655EC">
              <w:rPr>
                <w:b/>
                <w:bCs/>
              </w:rPr>
              <w:t>Шифр</w:t>
            </w:r>
          </w:p>
          <w:p w:rsidR="00084096" w:rsidRPr="008655EC" w:rsidRDefault="00084096" w:rsidP="000A21D1">
            <w:pPr>
              <w:jc w:val="center"/>
              <w:rPr>
                <w:b/>
                <w:bCs/>
              </w:rPr>
            </w:pPr>
            <w:r w:rsidRPr="008655EC">
              <w:rPr>
                <w:b/>
                <w:bCs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084096" w:rsidRPr="000D03FA" w:rsidRDefault="00084096" w:rsidP="000A21D1">
            <w:pPr>
              <w:ind w:right="-5"/>
              <w:jc w:val="center"/>
              <w:rPr>
                <w:b/>
                <w:bCs/>
              </w:rPr>
            </w:pPr>
            <w:r w:rsidRPr="008655EC">
              <w:rPr>
                <w:b/>
                <w:bCs/>
              </w:rPr>
              <w:t>Дисциплінарні результати навчання (ДРН)</w:t>
            </w:r>
          </w:p>
        </w:tc>
      </w:tr>
      <w:tr w:rsidR="00084096" w:rsidRPr="000D03FA">
        <w:trPr>
          <w:tblHeader/>
        </w:trPr>
        <w:tc>
          <w:tcPr>
            <w:tcW w:w="493" w:type="pct"/>
            <w:vMerge/>
            <w:vAlign w:val="center"/>
          </w:tcPr>
          <w:p w:rsidR="00084096" w:rsidRPr="000D03FA" w:rsidRDefault="00084096" w:rsidP="000A21D1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vAlign w:val="center"/>
          </w:tcPr>
          <w:p w:rsidR="00084096" w:rsidRPr="000D03FA" w:rsidRDefault="00084096" w:rsidP="000A2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 ДРН</w:t>
            </w:r>
          </w:p>
        </w:tc>
        <w:tc>
          <w:tcPr>
            <w:tcW w:w="4055" w:type="pct"/>
            <w:vAlign w:val="center"/>
          </w:tcPr>
          <w:p w:rsidR="00084096" w:rsidRPr="000D03FA" w:rsidRDefault="00084096" w:rsidP="000A21D1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зміст</w:t>
            </w:r>
          </w:p>
        </w:tc>
      </w:tr>
      <w:tr w:rsidR="00084096" w:rsidRPr="00E31962">
        <w:trPr>
          <w:trHeight w:val="423"/>
        </w:trPr>
        <w:tc>
          <w:tcPr>
            <w:tcW w:w="493" w:type="pct"/>
          </w:tcPr>
          <w:p w:rsidR="00084096" w:rsidRPr="003E73BF" w:rsidRDefault="00084096" w:rsidP="000A21D1">
            <w:pPr>
              <w:rPr>
                <w:shd w:val="clear" w:color="auto" w:fill="FFFFFF"/>
              </w:rPr>
            </w:pPr>
            <w:bookmarkStart w:id="6" w:name="_Hlk498188405"/>
            <w:r w:rsidRPr="003E73BF">
              <w:t>ЗР2</w:t>
            </w:r>
          </w:p>
        </w:tc>
        <w:tc>
          <w:tcPr>
            <w:tcW w:w="452" w:type="pct"/>
          </w:tcPr>
          <w:p w:rsidR="00084096" w:rsidRPr="00EB75D9" w:rsidRDefault="00084096" w:rsidP="000A21D1">
            <w:pPr>
              <w:rPr>
                <w:shd w:val="clear" w:color="auto" w:fill="FFFFFF"/>
              </w:rPr>
            </w:pPr>
            <w:r w:rsidRPr="00EB75D9">
              <w:rPr>
                <w:shd w:val="clear" w:color="auto" w:fill="FFFFFF"/>
              </w:rPr>
              <w:t>ЗР2-1</w:t>
            </w:r>
          </w:p>
        </w:tc>
        <w:tc>
          <w:tcPr>
            <w:tcW w:w="4055" w:type="pct"/>
          </w:tcPr>
          <w:p w:rsidR="00084096" w:rsidRPr="000A21D1" w:rsidRDefault="00084096" w:rsidP="00725E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Обговорювати та описувати власний  досвід навчання, </w:t>
            </w:r>
            <w:r w:rsidRPr="000A21D1">
              <w:rPr>
                <w:shd w:val="clear" w:color="auto" w:fill="FFFFFF"/>
              </w:rPr>
              <w:t xml:space="preserve"> наукової діяльності тощо. </w:t>
            </w:r>
          </w:p>
          <w:p w:rsidR="00084096" w:rsidRPr="00E31962" w:rsidRDefault="00084096" w:rsidP="007F073E">
            <w:pPr>
              <w:rPr>
                <w:shd w:val="clear" w:color="auto" w:fill="FFFFFF"/>
              </w:rPr>
            </w:pPr>
          </w:p>
        </w:tc>
      </w:tr>
      <w:tr w:rsidR="00084096" w:rsidRPr="00E31962">
        <w:tc>
          <w:tcPr>
            <w:tcW w:w="493" w:type="pct"/>
          </w:tcPr>
          <w:p w:rsidR="00084096" w:rsidRPr="003E73BF" w:rsidRDefault="00084096" w:rsidP="000A21D1">
            <w:pPr>
              <w:rPr>
                <w:color w:val="000000"/>
                <w:lang w:eastAsia="zh-TW"/>
              </w:rPr>
            </w:pPr>
            <w:r w:rsidRPr="003E73BF">
              <w:t>ЗР2</w:t>
            </w:r>
          </w:p>
        </w:tc>
        <w:tc>
          <w:tcPr>
            <w:tcW w:w="452" w:type="pct"/>
          </w:tcPr>
          <w:p w:rsidR="00084096" w:rsidRPr="00EB75D9" w:rsidRDefault="00084096" w:rsidP="000A21D1">
            <w:r w:rsidRPr="00EB75D9">
              <w:t>ЗР2-2</w:t>
            </w:r>
          </w:p>
        </w:tc>
        <w:tc>
          <w:tcPr>
            <w:tcW w:w="4055" w:type="pct"/>
          </w:tcPr>
          <w:p w:rsidR="00084096" w:rsidRPr="00E31962" w:rsidRDefault="00084096" w:rsidP="00725E91">
            <w:pPr>
              <w:rPr>
                <w:shd w:val="clear" w:color="auto" w:fill="FFFFFF"/>
              </w:rPr>
            </w:pPr>
            <w:r w:rsidRPr="000A21D1">
              <w:t xml:space="preserve">Ефективно </w:t>
            </w:r>
            <w:r>
              <w:t xml:space="preserve">аналізувати інформацію як в академічних джерелах, так і в цифрових мережах, вміти робити висновки з отриманої інформації.  </w:t>
            </w:r>
          </w:p>
        </w:tc>
      </w:tr>
      <w:tr w:rsidR="00084096" w:rsidRPr="00E31962">
        <w:tc>
          <w:tcPr>
            <w:tcW w:w="493" w:type="pct"/>
          </w:tcPr>
          <w:p w:rsidR="00084096" w:rsidRPr="003E73BF" w:rsidRDefault="00084096" w:rsidP="000A21D1">
            <w:r w:rsidRPr="003E73BF">
              <w:t>ЗР2</w:t>
            </w:r>
          </w:p>
          <w:p w:rsidR="00084096" w:rsidRPr="003E73BF" w:rsidRDefault="00084096" w:rsidP="000A21D1">
            <w:pPr>
              <w:rPr>
                <w:shd w:val="clear" w:color="auto" w:fill="FFFFFF"/>
              </w:rPr>
            </w:pPr>
            <w:r>
              <w:t>ЗР6</w:t>
            </w:r>
          </w:p>
        </w:tc>
        <w:tc>
          <w:tcPr>
            <w:tcW w:w="452" w:type="pct"/>
          </w:tcPr>
          <w:p w:rsidR="00084096" w:rsidRPr="00EB75D9" w:rsidRDefault="00084096" w:rsidP="000A21D1">
            <w:r w:rsidRPr="00EB75D9">
              <w:t>ЗР2-3</w:t>
            </w:r>
          </w:p>
          <w:p w:rsidR="00084096" w:rsidRPr="00EB75D9" w:rsidRDefault="00084096" w:rsidP="000A21D1">
            <w:r w:rsidRPr="00EB75D9">
              <w:t>ЗР6-1</w:t>
            </w:r>
          </w:p>
        </w:tc>
        <w:tc>
          <w:tcPr>
            <w:tcW w:w="4055" w:type="pct"/>
          </w:tcPr>
          <w:p w:rsidR="00084096" w:rsidRPr="000A21D1" w:rsidRDefault="00084096" w:rsidP="007F073E">
            <w:pPr>
              <w:rPr>
                <w:shd w:val="clear" w:color="auto" w:fill="FFFFFF"/>
              </w:rPr>
            </w:pPr>
            <w:r>
              <w:t xml:space="preserve">Ефективно соціалізуватися в процесі академічного обміну. </w:t>
            </w:r>
            <w:r>
              <w:rPr>
                <w:shd w:val="clear" w:color="auto" w:fill="FFFFFF"/>
              </w:rPr>
              <w:t>Обговорювати типові проблеми та питання, вести дискусію</w:t>
            </w:r>
            <w:r>
              <w:t xml:space="preserve">. </w:t>
            </w:r>
            <w:r w:rsidRPr="000A21D1">
              <w:rPr>
                <w:shd w:val="clear" w:color="auto" w:fill="FFFFFF"/>
              </w:rPr>
              <w:t xml:space="preserve"> </w:t>
            </w:r>
          </w:p>
          <w:p w:rsidR="00084096" w:rsidRPr="00E31962" w:rsidRDefault="00084096" w:rsidP="007F073E"/>
        </w:tc>
      </w:tr>
      <w:tr w:rsidR="00084096" w:rsidRPr="00E31962">
        <w:tc>
          <w:tcPr>
            <w:tcW w:w="493" w:type="pct"/>
          </w:tcPr>
          <w:p w:rsidR="00084096" w:rsidRPr="003E73BF" w:rsidRDefault="00084096" w:rsidP="000A21D1">
            <w:r w:rsidRPr="003E73BF">
              <w:t>ЗР2</w:t>
            </w:r>
          </w:p>
          <w:p w:rsidR="00084096" w:rsidRPr="003E73BF" w:rsidRDefault="00084096" w:rsidP="000A21D1">
            <w:pPr>
              <w:rPr>
                <w:color w:val="000000"/>
                <w:lang w:eastAsia="zh-TW"/>
              </w:rPr>
            </w:pPr>
            <w:r>
              <w:t>ЗР6</w:t>
            </w:r>
          </w:p>
        </w:tc>
        <w:tc>
          <w:tcPr>
            <w:tcW w:w="452" w:type="pct"/>
          </w:tcPr>
          <w:p w:rsidR="00084096" w:rsidRPr="00EB75D9" w:rsidRDefault="00084096" w:rsidP="000A21D1">
            <w:r w:rsidRPr="00EB75D9">
              <w:t>ЗР2-4</w:t>
            </w:r>
          </w:p>
          <w:p w:rsidR="00084096" w:rsidRPr="00EB75D9" w:rsidRDefault="00084096" w:rsidP="000A21D1">
            <w:r w:rsidRPr="00EB75D9">
              <w:t>ЗР6-2</w:t>
            </w:r>
          </w:p>
        </w:tc>
        <w:tc>
          <w:tcPr>
            <w:tcW w:w="4055" w:type="pct"/>
          </w:tcPr>
          <w:p w:rsidR="00084096" w:rsidRPr="00E31962" w:rsidRDefault="00084096" w:rsidP="007F07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Розуміти та о</w:t>
            </w:r>
            <w:r w:rsidRPr="000A21D1">
              <w:rPr>
                <w:shd w:val="clear" w:color="auto" w:fill="FFFFFF"/>
              </w:rPr>
              <w:t>бмін</w:t>
            </w:r>
            <w:r>
              <w:rPr>
                <w:shd w:val="clear" w:color="auto" w:fill="FFFFFF"/>
              </w:rPr>
              <w:t>юватися</w:t>
            </w:r>
            <w:r w:rsidRPr="000A21D1">
              <w:rPr>
                <w:shd w:val="clear" w:color="auto" w:fill="FFFFFF"/>
              </w:rPr>
              <w:t xml:space="preserve"> інфо</w:t>
            </w:r>
            <w:r>
              <w:rPr>
                <w:shd w:val="clear" w:color="auto" w:fill="FFFFFF"/>
              </w:rPr>
              <w:t>рмацією, вилученою</w:t>
            </w:r>
            <w:r w:rsidRPr="000A21D1">
              <w:rPr>
                <w:shd w:val="clear" w:color="auto" w:fill="FFFFFF"/>
              </w:rPr>
              <w:t xml:space="preserve"> із рі</w:t>
            </w:r>
            <w:r>
              <w:rPr>
                <w:shd w:val="clear" w:color="auto" w:fill="FFFFFF"/>
              </w:rPr>
              <w:t>зноманітних джерел. Знаходити вирішення проблемних питань.</w:t>
            </w:r>
          </w:p>
        </w:tc>
      </w:tr>
      <w:tr w:rsidR="00084096" w:rsidRPr="00E31962">
        <w:tc>
          <w:tcPr>
            <w:tcW w:w="493" w:type="pct"/>
          </w:tcPr>
          <w:p w:rsidR="00084096" w:rsidRPr="003E73BF" w:rsidRDefault="00084096" w:rsidP="000A21D1">
            <w:r w:rsidRPr="003E73BF">
              <w:t>ЗР2</w:t>
            </w:r>
          </w:p>
          <w:p w:rsidR="00084096" w:rsidRPr="003E73BF" w:rsidRDefault="00084096" w:rsidP="000A21D1">
            <w:pPr>
              <w:rPr>
                <w:color w:val="000000"/>
                <w:lang w:eastAsia="zh-TW"/>
              </w:rPr>
            </w:pPr>
          </w:p>
        </w:tc>
        <w:tc>
          <w:tcPr>
            <w:tcW w:w="452" w:type="pct"/>
          </w:tcPr>
          <w:p w:rsidR="00084096" w:rsidRPr="00EB75D9" w:rsidRDefault="00084096" w:rsidP="000A21D1">
            <w:r w:rsidRPr="00EB75D9">
              <w:t>ЗР2- 5</w:t>
            </w:r>
          </w:p>
        </w:tc>
        <w:tc>
          <w:tcPr>
            <w:tcW w:w="4055" w:type="pct"/>
          </w:tcPr>
          <w:p w:rsidR="00084096" w:rsidRPr="00E31962" w:rsidRDefault="00084096" w:rsidP="000A21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Презентувати результати своєї роботи усно і письмово.</w:t>
            </w:r>
          </w:p>
        </w:tc>
      </w:tr>
      <w:tr w:rsidR="00084096" w:rsidRPr="00E31962">
        <w:tc>
          <w:tcPr>
            <w:tcW w:w="493" w:type="pct"/>
          </w:tcPr>
          <w:p w:rsidR="00084096" w:rsidRPr="003E73BF" w:rsidRDefault="00084096" w:rsidP="000A21D1">
            <w:r w:rsidRPr="003E73BF">
              <w:t>ЗР9</w:t>
            </w:r>
          </w:p>
        </w:tc>
        <w:tc>
          <w:tcPr>
            <w:tcW w:w="452" w:type="pct"/>
          </w:tcPr>
          <w:p w:rsidR="00084096" w:rsidRPr="00EB75D9" w:rsidRDefault="00084096" w:rsidP="000A21D1">
            <w:r w:rsidRPr="00EB75D9">
              <w:t>ЗР9-1</w:t>
            </w:r>
          </w:p>
        </w:tc>
        <w:tc>
          <w:tcPr>
            <w:tcW w:w="4055" w:type="pct"/>
          </w:tcPr>
          <w:p w:rsidR="00084096" w:rsidRPr="000A21D1" w:rsidRDefault="00084096" w:rsidP="000A21D1">
            <w:pPr>
              <w:rPr>
                <w:lang w:val="ru-RU"/>
              </w:rPr>
            </w:pPr>
            <w:r w:rsidRPr="000A21D1">
              <w:t>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:rsidR="00084096" w:rsidRPr="000A21D1" w:rsidRDefault="00084096" w:rsidP="000A21D1">
            <w:pPr>
              <w:rPr>
                <w:shd w:val="clear" w:color="auto" w:fill="FFFFFF"/>
                <w:lang w:val="ru-RU"/>
              </w:rPr>
            </w:pPr>
          </w:p>
        </w:tc>
      </w:tr>
    </w:tbl>
    <w:p w:rsidR="00084096" w:rsidRDefault="00084096" w:rsidP="004515F1">
      <w:pPr>
        <w:pStyle w:val="Heading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БАЗОВІ ДИСЦИПЛІНИ</w:t>
      </w:r>
      <w:bookmarkEnd w:id="7"/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6910"/>
      </w:tblGrid>
      <w:tr w:rsidR="00084096" w:rsidRPr="00E31962">
        <w:trPr>
          <w:tblHeader/>
        </w:trPr>
        <w:tc>
          <w:tcPr>
            <w:tcW w:w="1390" w:type="pct"/>
            <w:vAlign w:val="center"/>
          </w:tcPr>
          <w:p w:rsidR="00084096" w:rsidRPr="006E58D5" w:rsidRDefault="00084096" w:rsidP="000A21D1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  <w:bCs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:rsidR="00084096" w:rsidRPr="006E58D5" w:rsidRDefault="00084096" w:rsidP="000A21D1">
            <w:pPr>
              <w:ind w:right="-5"/>
              <w:jc w:val="center"/>
              <w:rPr>
                <w:b/>
                <w:bCs/>
              </w:rPr>
            </w:pPr>
            <w:r w:rsidRPr="006E58D5">
              <w:rPr>
                <w:b/>
                <w:bCs/>
              </w:rPr>
              <w:t>Здобуті результати навчання</w:t>
            </w:r>
          </w:p>
        </w:tc>
      </w:tr>
      <w:tr w:rsidR="00084096" w:rsidRPr="00E31962">
        <w:tc>
          <w:tcPr>
            <w:tcW w:w="1390" w:type="pct"/>
            <w:vMerge w:val="restart"/>
          </w:tcPr>
          <w:p w:rsidR="00084096" w:rsidRPr="006E58D5" w:rsidRDefault="00084096" w:rsidP="000A21D1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:rsidR="00084096" w:rsidRPr="006E58D5" w:rsidRDefault="00084096" w:rsidP="00546498">
            <w:r w:rsidRPr="006E58D5">
              <w:t>вести і підтримувати розмову на знайомі теми, пов’язані з</w:t>
            </w:r>
          </w:p>
          <w:p w:rsidR="00084096" w:rsidRPr="006E58D5" w:rsidRDefault="00084096" w:rsidP="00546498">
            <w:r w:rsidRPr="006E58D5">
              <w:t>навчанням та майбутньою спеціальністю, висловлюючи</w:t>
            </w:r>
          </w:p>
          <w:p w:rsidR="00084096" w:rsidRPr="006E58D5" w:rsidRDefault="00084096" w:rsidP="00546498">
            <w:r w:rsidRPr="006E58D5">
              <w:t>свої особисті думки і погляди під час обміну фактичною</w:t>
            </w:r>
          </w:p>
          <w:p w:rsidR="00084096" w:rsidRPr="006E58D5" w:rsidRDefault="00084096" w:rsidP="00546498">
            <w:r w:rsidRPr="006E58D5">
              <w:t>інформацією про події, пов’язані з освітою та спеціалізацією навчання;</w:t>
            </w:r>
          </w:p>
        </w:tc>
      </w:tr>
      <w:tr w:rsidR="00084096" w:rsidRPr="00E31962">
        <w:tc>
          <w:tcPr>
            <w:tcW w:w="1390" w:type="pct"/>
            <w:vMerge/>
          </w:tcPr>
          <w:p w:rsidR="00084096" w:rsidRPr="00791150" w:rsidRDefault="00084096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084096" w:rsidRDefault="00084096" w:rsidP="00546498">
            <w:r>
              <w:t>розуміти чіткі та прості повідомлення, включаючи попередження, оголошення та інструкції в ситуаціях,</w:t>
            </w:r>
          </w:p>
          <w:p w:rsidR="00084096" w:rsidRDefault="00084096" w:rsidP="00546498">
            <w:r>
              <w:t>пов’язаних з навчанням та майбутньою професією; адекватно реагувати на такі повідомлення</w:t>
            </w:r>
          </w:p>
          <w:p w:rsidR="00084096" w:rsidRDefault="00084096" w:rsidP="00546498"/>
        </w:tc>
      </w:tr>
      <w:tr w:rsidR="00084096" w:rsidRPr="00E31962">
        <w:tc>
          <w:tcPr>
            <w:tcW w:w="1390" w:type="pct"/>
            <w:vMerge/>
          </w:tcPr>
          <w:p w:rsidR="00084096" w:rsidRPr="00791150" w:rsidRDefault="00084096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084096" w:rsidRPr="00A65CB1" w:rsidRDefault="00084096" w:rsidP="00546498"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</w:tr>
      <w:tr w:rsidR="00084096" w:rsidRPr="00E31962">
        <w:tc>
          <w:tcPr>
            <w:tcW w:w="1390" w:type="pct"/>
          </w:tcPr>
          <w:p w:rsidR="00084096" w:rsidRPr="00791150" w:rsidRDefault="00084096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084096" w:rsidRDefault="00084096" w:rsidP="00A65CB1">
            <w:r>
              <w:t>ефективно використовувати діапазон словникового запасу (не менше 500 лексичних одиниць), у тому числі</w:t>
            </w:r>
          </w:p>
          <w:p w:rsidR="00084096" w:rsidRDefault="00084096" w:rsidP="00A65CB1">
            <w:r>
              <w:t>термінології академічної сфери та галузі навчання, і граматичні структури, необхідні для вираження відповідних</w:t>
            </w:r>
          </w:p>
          <w:p w:rsidR="00084096" w:rsidRDefault="00084096" w:rsidP="00A65CB1">
            <w:r>
              <w:t>функцій та понять.</w:t>
            </w:r>
          </w:p>
        </w:tc>
      </w:tr>
    </w:tbl>
    <w:p w:rsidR="00084096" w:rsidRPr="000E5B22" w:rsidRDefault="00084096" w:rsidP="004515F1">
      <w:pPr>
        <w:pStyle w:val="Heading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640"/>
        <w:gridCol w:w="1158"/>
        <w:gridCol w:w="1283"/>
        <w:gridCol w:w="1159"/>
        <w:gridCol w:w="1283"/>
        <w:gridCol w:w="1159"/>
        <w:gridCol w:w="1371"/>
      </w:tblGrid>
      <w:tr w:rsidR="00084096" w:rsidRPr="000E5B22">
        <w:tc>
          <w:tcPr>
            <w:tcW w:w="763" w:type="pct"/>
            <w:vMerge w:val="restart"/>
            <w:vAlign w:val="center"/>
          </w:tcPr>
          <w:p w:rsidR="00084096" w:rsidRPr="00B901E6" w:rsidRDefault="00084096" w:rsidP="000A2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084096" w:rsidRPr="00B901E6" w:rsidRDefault="00084096" w:rsidP="000A21D1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  <w:iCs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084096" w:rsidRPr="00B901E6" w:rsidRDefault="00084096" w:rsidP="000A21D1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 w:rsidRPr="00984C5D">
              <w:rPr>
                <w:i/>
                <w:iCs/>
              </w:rPr>
              <w:t>, години</w:t>
            </w:r>
          </w:p>
        </w:tc>
      </w:tr>
      <w:tr w:rsidR="00084096" w:rsidRPr="000E5B22">
        <w:tc>
          <w:tcPr>
            <w:tcW w:w="763" w:type="pct"/>
            <w:vMerge/>
            <w:vAlign w:val="center"/>
          </w:tcPr>
          <w:p w:rsidR="00084096" w:rsidRPr="00B901E6" w:rsidRDefault="00084096" w:rsidP="000A21D1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vMerge/>
          </w:tcPr>
          <w:p w:rsidR="00084096" w:rsidRPr="00B901E6" w:rsidRDefault="00084096" w:rsidP="000A21D1">
            <w:pPr>
              <w:jc w:val="center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084096" w:rsidRPr="00B901E6" w:rsidRDefault="00084096" w:rsidP="000A21D1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084096" w:rsidRPr="00B901E6" w:rsidRDefault="00084096" w:rsidP="000A21D1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084096" w:rsidRPr="00B901E6" w:rsidRDefault="00084096" w:rsidP="000A21D1">
            <w:pPr>
              <w:ind w:right="-5"/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заочна</w:t>
            </w:r>
          </w:p>
        </w:tc>
      </w:tr>
      <w:tr w:rsidR="00084096" w:rsidRPr="000E5B22">
        <w:tc>
          <w:tcPr>
            <w:tcW w:w="763" w:type="pct"/>
            <w:vMerge/>
            <w:vAlign w:val="center"/>
          </w:tcPr>
          <w:p w:rsidR="00084096" w:rsidRPr="00B901E6" w:rsidRDefault="00084096" w:rsidP="000A21D1">
            <w:pPr>
              <w:jc w:val="center"/>
            </w:pPr>
          </w:p>
        </w:tc>
        <w:tc>
          <w:tcPr>
            <w:tcW w:w="330" w:type="pct"/>
            <w:vMerge/>
          </w:tcPr>
          <w:p w:rsidR="00084096" w:rsidRPr="00B901E6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</w:tcPr>
          <w:p w:rsidR="00084096" w:rsidRPr="001620F7" w:rsidRDefault="00084096" w:rsidP="000A21D1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084096" w:rsidRPr="001620F7" w:rsidRDefault="00084096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084096" w:rsidRPr="001620F7" w:rsidRDefault="00084096" w:rsidP="000A21D1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084096" w:rsidRPr="001620F7" w:rsidRDefault="00084096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084096" w:rsidRPr="001620F7" w:rsidRDefault="00084096" w:rsidP="000A21D1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084096" w:rsidRPr="001620F7" w:rsidRDefault="00084096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084096" w:rsidRPr="00B901E6">
        <w:tc>
          <w:tcPr>
            <w:tcW w:w="763" w:type="pct"/>
            <w:vAlign w:val="center"/>
          </w:tcPr>
          <w:p w:rsidR="00084096" w:rsidRPr="00B901E6" w:rsidRDefault="00084096" w:rsidP="000A21D1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B901E6">
        <w:tc>
          <w:tcPr>
            <w:tcW w:w="763" w:type="pct"/>
            <w:vAlign w:val="center"/>
          </w:tcPr>
          <w:p w:rsidR="00084096" w:rsidRPr="00B901E6" w:rsidRDefault="00084096" w:rsidP="000A21D1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084096" w:rsidRPr="001270FB" w:rsidRDefault="00084096" w:rsidP="000A21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76" w:type="pct"/>
            <w:vAlign w:val="center"/>
          </w:tcPr>
          <w:p w:rsidR="00084096" w:rsidRPr="001270FB" w:rsidRDefault="00084096" w:rsidP="000A21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B901E6">
        <w:tc>
          <w:tcPr>
            <w:tcW w:w="763" w:type="pct"/>
            <w:vAlign w:val="center"/>
          </w:tcPr>
          <w:p w:rsidR="00084096" w:rsidRPr="00B901E6" w:rsidRDefault="00084096" w:rsidP="000A21D1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084096" w:rsidRPr="000E5B22">
        <w:tc>
          <w:tcPr>
            <w:tcW w:w="763" w:type="pct"/>
            <w:vAlign w:val="center"/>
          </w:tcPr>
          <w:p w:rsidR="00084096" w:rsidRPr="00B901E6" w:rsidRDefault="00084096" w:rsidP="000A21D1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084096" w:rsidRPr="000E5B22">
        <w:tc>
          <w:tcPr>
            <w:tcW w:w="763" w:type="pct"/>
            <w:vAlign w:val="center"/>
          </w:tcPr>
          <w:p w:rsidR="00084096" w:rsidRPr="00B901E6" w:rsidRDefault="00084096" w:rsidP="000A21D1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084096" w:rsidRPr="001270FB" w:rsidRDefault="00084096" w:rsidP="000A21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76" w:type="pct"/>
            <w:vAlign w:val="center"/>
          </w:tcPr>
          <w:p w:rsidR="00084096" w:rsidRPr="001270FB" w:rsidRDefault="00084096" w:rsidP="000A21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</w:tbl>
    <w:p w:rsidR="00084096" w:rsidRDefault="00084096" w:rsidP="004515F1">
      <w:pPr>
        <w:pStyle w:val="Heading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53466448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084096" w:rsidRPr="004A0405" w:rsidRDefault="00084096" w:rsidP="004515F1">
      <w:pPr>
        <w:rPr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6742"/>
        <w:gridCol w:w="1508"/>
      </w:tblGrid>
      <w:tr w:rsidR="00084096" w:rsidRPr="00E31962">
        <w:trPr>
          <w:trHeight w:val="365"/>
          <w:tblHeader/>
        </w:trPr>
        <w:tc>
          <w:tcPr>
            <w:tcW w:w="690" w:type="pct"/>
            <w:vAlign w:val="center"/>
          </w:tcPr>
          <w:p w:rsidR="00084096" w:rsidRDefault="00084096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084096" w:rsidRPr="00E31962" w:rsidRDefault="00084096" w:rsidP="000A21D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084096" w:rsidRDefault="00084096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i/>
                <w:iCs/>
                <w:color w:val="000000"/>
              </w:rPr>
              <w:t>години</w:t>
            </w:r>
          </w:p>
        </w:tc>
      </w:tr>
      <w:tr w:rsidR="00084096" w:rsidRPr="00E31962">
        <w:trPr>
          <w:trHeight w:val="365"/>
        </w:trPr>
        <w:tc>
          <w:tcPr>
            <w:tcW w:w="690" w:type="pct"/>
          </w:tcPr>
          <w:p w:rsidR="00084096" w:rsidRPr="00E31962" w:rsidRDefault="00084096" w:rsidP="000A21D1"/>
        </w:tc>
        <w:tc>
          <w:tcPr>
            <w:tcW w:w="3522" w:type="pct"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084096" w:rsidRDefault="00084096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084096" w:rsidRPr="00E31962">
        <w:trPr>
          <w:trHeight w:val="171"/>
        </w:trPr>
        <w:tc>
          <w:tcPr>
            <w:tcW w:w="690" w:type="pct"/>
          </w:tcPr>
          <w:p w:rsidR="00084096" w:rsidRPr="00ED334A" w:rsidRDefault="00084096" w:rsidP="002D79B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084096" w:rsidRPr="00E31962" w:rsidRDefault="00084096" w:rsidP="000A21D1">
            <w:pPr>
              <w:rPr>
                <w:b/>
                <w:bCs/>
              </w:rPr>
            </w:pPr>
            <w:r>
              <w:rPr>
                <w:b/>
                <w:bCs/>
              </w:rPr>
              <w:t>Розвиток стратегій аналітичного мислення</w:t>
            </w:r>
          </w:p>
        </w:tc>
        <w:tc>
          <w:tcPr>
            <w:tcW w:w="788" w:type="pct"/>
            <w:vMerge w:val="restart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 xml:space="preserve">ЗР2-2, </w:t>
            </w:r>
          </w:p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ЗР9-1</w:t>
            </w:r>
          </w:p>
        </w:tc>
        <w:tc>
          <w:tcPr>
            <w:tcW w:w="3522" w:type="pct"/>
          </w:tcPr>
          <w:p w:rsidR="00084096" w:rsidRPr="00E31962" w:rsidRDefault="00084096" w:rsidP="002D79B1">
            <w:r>
              <w:t xml:space="preserve">Аналіз програм академічного обміну. Аналіз вимог до претендентів.  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ЗР2-2, ЗР2-4</w:t>
            </w:r>
          </w:p>
        </w:tc>
        <w:tc>
          <w:tcPr>
            <w:tcW w:w="3522" w:type="pct"/>
          </w:tcPr>
          <w:p w:rsidR="00084096" w:rsidRDefault="00084096" w:rsidP="000A21D1">
            <w:r>
              <w:t>Розвиток стратегій швидкого розуміння текстової інформації з іншомовних джерел.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ЗР2-4</w:t>
            </w:r>
          </w:p>
        </w:tc>
        <w:tc>
          <w:tcPr>
            <w:tcW w:w="3522" w:type="pct"/>
          </w:tcPr>
          <w:p w:rsidR="00084096" w:rsidRDefault="00084096" w:rsidP="000A21D1">
            <w:r>
              <w:t>Розуміння аудіо та відео інформації.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ЗР2-2</w:t>
            </w:r>
          </w:p>
        </w:tc>
        <w:tc>
          <w:tcPr>
            <w:tcW w:w="3522" w:type="pct"/>
          </w:tcPr>
          <w:p w:rsidR="00084096" w:rsidRPr="00E31962" w:rsidRDefault="00084096" w:rsidP="000A21D1">
            <w:r>
              <w:t>Аналіз та синтез вилученої інформації.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 xml:space="preserve">ЗР2-5, </w:t>
            </w:r>
          </w:p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ЗР6-1</w:t>
            </w:r>
          </w:p>
        </w:tc>
        <w:tc>
          <w:tcPr>
            <w:tcW w:w="3522" w:type="pct"/>
          </w:tcPr>
          <w:p w:rsidR="00084096" w:rsidRPr="00E31962" w:rsidRDefault="00084096" w:rsidP="000A21D1">
            <w:r>
              <w:t>Візуалізація проаналізованої інформації, складання карт мислення.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76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ЗР2-2</w:t>
            </w:r>
          </w:p>
        </w:tc>
        <w:tc>
          <w:tcPr>
            <w:tcW w:w="3522" w:type="pct"/>
          </w:tcPr>
          <w:p w:rsidR="00084096" w:rsidRPr="00E31962" w:rsidRDefault="00084096" w:rsidP="000A21D1">
            <w:r>
              <w:t>Стратегії роботи з екзаменаційними іншомовними текстами.</w:t>
            </w:r>
          </w:p>
        </w:tc>
        <w:tc>
          <w:tcPr>
            <w:tcW w:w="788" w:type="pct"/>
            <w:vMerge/>
            <w:vAlign w:val="center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084096" w:rsidRPr="00E31962" w:rsidRDefault="00084096" w:rsidP="000A21D1">
            <w:pPr>
              <w:rPr>
                <w:b/>
                <w:bCs/>
              </w:rPr>
            </w:pPr>
            <w:r>
              <w:rPr>
                <w:b/>
                <w:bCs/>
              </w:rPr>
              <w:t>Академічне письмо</w:t>
            </w:r>
          </w:p>
        </w:tc>
        <w:tc>
          <w:tcPr>
            <w:tcW w:w="788" w:type="pct"/>
            <w:vMerge w:val="restart"/>
          </w:tcPr>
          <w:p w:rsidR="00084096" w:rsidRPr="00984C5D" w:rsidRDefault="00084096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ЗР9-1</w:t>
            </w:r>
          </w:p>
        </w:tc>
        <w:tc>
          <w:tcPr>
            <w:tcW w:w="3522" w:type="pct"/>
          </w:tcPr>
          <w:p w:rsidR="00084096" w:rsidRDefault="00084096" w:rsidP="00C64F11">
            <w:r>
              <w:t>Жанрові особливості академічного письма.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ЗР2-1</w:t>
            </w:r>
          </w:p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ЗР2-5</w:t>
            </w:r>
          </w:p>
        </w:tc>
        <w:tc>
          <w:tcPr>
            <w:tcW w:w="3522" w:type="pct"/>
          </w:tcPr>
          <w:p w:rsidR="00084096" w:rsidRDefault="00084096" w:rsidP="00C64F11">
            <w:r>
              <w:t>Заповнення різних форм, анкет, заяв інформацією про себе , свій досвід та цілі.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ЗР2-1, ЗР2-5</w:t>
            </w:r>
          </w:p>
        </w:tc>
        <w:tc>
          <w:tcPr>
            <w:tcW w:w="3522" w:type="pct"/>
          </w:tcPr>
          <w:p w:rsidR="00084096" w:rsidRPr="00E31962" w:rsidRDefault="00084096" w:rsidP="00C64F11">
            <w:r>
              <w:t>Написання мотиваційного листа.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ЗР2-1</w:t>
            </w:r>
          </w:p>
        </w:tc>
        <w:tc>
          <w:tcPr>
            <w:tcW w:w="3522" w:type="pct"/>
          </w:tcPr>
          <w:p w:rsidR="00084096" w:rsidRDefault="00084096" w:rsidP="00C64F11">
            <w:r>
              <w:t>Написання аплікаційної заявки для отримання грантів, участі в програмах академічного обміну тощо.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084096" w:rsidRPr="000A4D98" w:rsidRDefault="00084096" w:rsidP="00C64F11">
            <w:pPr>
              <w:rPr>
                <w:b/>
                <w:bCs/>
              </w:rPr>
            </w:pPr>
            <w:r w:rsidRPr="000A4D98">
              <w:rPr>
                <w:b/>
                <w:bCs/>
              </w:rPr>
              <w:t>Академічне спілкування</w:t>
            </w:r>
          </w:p>
        </w:tc>
        <w:tc>
          <w:tcPr>
            <w:tcW w:w="788" w:type="pct"/>
            <w:vMerge w:val="restart"/>
            <w:vAlign w:val="center"/>
          </w:tcPr>
          <w:p w:rsidR="00084096" w:rsidRPr="000A4D98" w:rsidRDefault="00084096" w:rsidP="000A21D1">
            <w:pPr>
              <w:jc w:val="center"/>
              <w:rPr>
                <w:color w:val="000000"/>
              </w:rPr>
            </w:pPr>
            <w:r w:rsidRPr="000A4D98">
              <w:rPr>
                <w:color w:val="000000"/>
              </w:rPr>
              <w:t>30</w:t>
            </w: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Default="00084096" w:rsidP="000A21D1">
            <w:pPr>
              <w:rPr>
                <w:color w:val="000000"/>
              </w:rPr>
            </w:pPr>
            <w:r>
              <w:rPr>
                <w:color w:val="000000"/>
              </w:rPr>
              <w:t>ЗР2-1</w:t>
            </w:r>
          </w:p>
          <w:p w:rsidR="00084096" w:rsidRPr="00D06347" w:rsidRDefault="00084096" w:rsidP="000A21D1">
            <w:pPr>
              <w:rPr>
                <w:color w:val="000000"/>
              </w:rPr>
            </w:pPr>
            <w:r>
              <w:rPr>
                <w:color w:val="000000"/>
              </w:rPr>
              <w:t>ЗР9-1</w:t>
            </w:r>
          </w:p>
        </w:tc>
        <w:tc>
          <w:tcPr>
            <w:tcW w:w="3522" w:type="pct"/>
          </w:tcPr>
          <w:p w:rsidR="00084096" w:rsidRDefault="00084096" w:rsidP="00D06347">
            <w:r>
              <w:t>Особливості участі в інтерв’ю.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ЗР2-3</w:t>
            </w:r>
          </w:p>
        </w:tc>
        <w:tc>
          <w:tcPr>
            <w:tcW w:w="3522" w:type="pct"/>
          </w:tcPr>
          <w:p w:rsidR="00084096" w:rsidRPr="00E31962" w:rsidRDefault="00084096" w:rsidP="00D06347">
            <w:r>
              <w:t xml:space="preserve">Соціалізація та адаптація в іншомовному соціумі. 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Pr="00D06347" w:rsidRDefault="00084096" w:rsidP="000A21D1">
            <w:pPr>
              <w:rPr>
                <w:color w:val="000000"/>
              </w:rPr>
            </w:pPr>
            <w:r w:rsidRPr="00D06347">
              <w:rPr>
                <w:color w:val="000000"/>
              </w:rPr>
              <w:t>ЗР2-3, ЗР2-4</w:t>
            </w:r>
          </w:p>
        </w:tc>
        <w:tc>
          <w:tcPr>
            <w:tcW w:w="3522" w:type="pct"/>
          </w:tcPr>
          <w:p w:rsidR="00084096" w:rsidRPr="00E31962" w:rsidRDefault="00084096" w:rsidP="00D06347">
            <w:r>
              <w:t xml:space="preserve">Особливості академічної культури різних країн світу. </w:t>
            </w:r>
          </w:p>
        </w:tc>
        <w:tc>
          <w:tcPr>
            <w:tcW w:w="788" w:type="pct"/>
            <w:vMerge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20"/>
        </w:trPr>
        <w:tc>
          <w:tcPr>
            <w:tcW w:w="690" w:type="pct"/>
          </w:tcPr>
          <w:p w:rsidR="00084096" w:rsidRDefault="00084096" w:rsidP="000A21D1">
            <w:pPr>
              <w:rPr>
                <w:color w:val="000000"/>
              </w:rPr>
            </w:pPr>
            <w:r>
              <w:rPr>
                <w:color w:val="000000"/>
              </w:rPr>
              <w:t>ЗР2-3</w:t>
            </w:r>
          </w:p>
          <w:p w:rsidR="00084096" w:rsidRPr="00D06347" w:rsidRDefault="00084096" w:rsidP="000A21D1">
            <w:pPr>
              <w:rPr>
                <w:color w:val="000000"/>
              </w:rPr>
            </w:pPr>
            <w:r>
              <w:rPr>
                <w:color w:val="000000"/>
              </w:rPr>
              <w:t>ЗР2-4</w:t>
            </w:r>
          </w:p>
        </w:tc>
        <w:tc>
          <w:tcPr>
            <w:tcW w:w="3522" w:type="pct"/>
          </w:tcPr>
          <w:p w:rsidR="00084096" w:rsidRDefault="00084096" w:rsidP="000A4D98">
            <w:r>
              <w:t xml:space="preserve">Обговорення проблем, типових для академічного  середовища: вираження власної думки, аргументація, ведення диспутів та дискусій.  </w:t>
            </w:r>
          </w:p>
        </w:tc>
        <w:tc>
          <w:tcPr>
            <w:tcW w:w="788" w:type="pct"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4096" w:rsidRPr="00E31962">
        <w:trPr>
          <w:trHeight w:val="137"/>
        </w:trPr>
        <w:tc>
          <w:tcPr>
            <w:tcW w:w="690" w:type="pct"/>
          </w:tcPr>
          <w:p w:rsidR="00084096" w:rsidRPr="00ED334A" w:rsidRDefault="00084096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084096" w:rsidRDefault="00084096" w:rsidP="000A21D1">
            <w:r>
              <w:t>Модульний контроль</w:t>
            </w:r>
          </w:p>
        </w:tc>
        <w:tc>
          <w:tcPr>
            <w:tcW w:w="788" w:type="pct"/>
            <w:vAlign w:val="center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84096" w:rsidRPr="00E31962">
        <w:trPr>
          <w:trHeight w:val="20"/>
        </w:trPr>
        <w:tc>
          <w:tcPr>
            <w:tcW w:w="4212" w:type="pct"/>
            <w:gridSpan w:val="2"/>
          </w:tcPr>
          <w:p w:rsidR="00084096" w:rsidRPr="00E31962" w:rsidRDefault="00084096" w:rsidP="000A21D1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084096" w:rsidRPr="00E31962" w:rsidRDefault="00084096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084096" w:rsidRDefault="00084096" w:rsidP="004515F1">
      <w:pPr>
        <w:pStyle w:val="BodyText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084096" w:rsidRPr="00C66A98" w:rsidRDefault="00084096" w:rsidP="004515F1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sz w:val="28"/>
          <w:szCs w:val="28"/>
        </w:rPr>
        <w:t>.</w:t>
      </w:r>
    </w:p>
    <w:p w:rsidR="00084096" w:rsidRPr="00C66A98" w:rsidRDefault="00084096" w:rsidP="004515F1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 реальний результат навчання</w:t>
      </w:r>
      <w:r>
        <w:rPr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084096" w:rsidRPr="008920E3" w:rsidRDefault="00084096" w:rsidP="004515F1">
      <w:pPr>
        <w:pStyle w:val="BodyText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084096" w:rsidRDefault="00084096" w:rsidP="004515F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72D4">
        <w:rPr>
          <w:sz w:val="28"/>
          <w:szCs w:val="28"/>
        </w:rPr>
        <w:t>цінювання навчальних досягнень студентів НТУ «</w:t>
      </w:r>
      <w:r>
        <w:rPr>
          <w:sz w:val="28"/>
          <w:szCs w:val="28"/>
        </w:rPr>
        <w:t>ДП</w:t>
      </w:r>
      <w:r w:rsidRPr="009572D4">
        <w:rPr>
          <w:sz w:val="28"/>
          <w:szCs w:val="28"/>
        </w:rPr>
        <w:t>»</w:t>
      </w:r>
      <w:r>
        <w:rPr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084096" w:rsidRPr="00F74369" w:rsidRDefault="00084096" w:rsidP="004515F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F74369">
        <w:rPr>
          <w:b/>
          <w:bCs/>
          <w:i/>
          <w:iCs/>
        </w:rPr>
        <w:t xml:space="preserve">Шкали оцінювання навчальних досягнень студентів НТУ </w:t>
      </w:r>
      <w:r>
        <w:rPr>
          <w:b/>
          <w:bCs/>
          <w:i/>
          <w:iCs/>
        </w:rPr>
        <w:t>«ДП</w:t>
      </w:r>
      <w:r w:rsidRPr="00F74369">
        <w:rPr>
          <w:b/>
          <w:bCs/>
          <w:i/>
          <w:iCs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084096" w:rsidRPr="00984C5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984C5D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984C5D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084096" w:rsidRPr="001B2ED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1B2ED6" w:rsidRDefault="00084096" w:rsidP="000A21D1">
            <w:pPr>
              <w:autoSpaceDE w:val="0"/>
              <w:snapToGrid w:val="0"/>
              <w:jc w:val="center"/>
            </w:pPr>
            <w:r w:rsidRPr="001B2ED6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1B2ED6" w:rsidRDefault="00084096" w:rsidP="000A21D1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084096" w:rsidRPr="001B2ED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1B2ED6" w:rsidRDefault="00084096" w:rsidP="000A21D1">
            <w:pPr>
              <w:autoSpaceDE w:val="0"/>
              <w:snapToGrid w:val="0"/>
              <w:jc w:val="center"/>
            </w:pPr>
            <w:r w:rsidRPr="001B2ED6">
              <w:t>7</w:t>
            </w:r>
            <w:r>
              <w:t>4</w:t>
            </w:r>
            <w:r w:rsidRPr="001B2ED6"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1B2ED6" w:rsidRDefault="00084096" w:rsidP="000A21D1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084096" w:rsidRPr="001B2ED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1B2ED6" w:rsidRDefault="00084096" w:rsidP="000A21D1">
            <w:pPr>
              <w:autoSpaceDE w:val="0"/>
              <w:snapToGrid w:val="0"/>
              <w:jc w:val="center"/>
            </w:pPr>
            <w:r w:rsidRPr="001B2ED6">
              <w:t>60…7</w:t>
            </w:r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1B2ED6" w:rsidRDefault="00084096" w:rsidP="000A21D1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084096" w:rsidRPr="001B2ED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1B2ED6" w:rsidRDefault="00084096" w:rsidP="000A21D1">
            <w:pPr>
              <w:autoSpaceDE w:val="0"/>
              <w:snapToGrid w:val="0"/>
              <w:jc w:val="center"/>
            </w:pPr>
            <w:r w:rsidRPr="001B2ED6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1B2ED6" w:rsidRDefault="00084096" w:rsidP="000A21D1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084096" w:rsidRDefault="00084096" w:rsidP="004515F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084096" w:rsidRDefault="00084096" w:rsidP="004515F1">
      <w:pPr>
        <w:pStyle w:val="BodyText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</w:p>
    <w:p w:rsidR="00084096" w:rsidRDefault="00084096" w:rsidP="004515F1">
      <w:pPr>
        <w:pStyle w:val="BodyText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6.2 Засоби та процедури</w:t>
      </w:r>
      <w:bookmarkEnd w:id="14"/>
    </w:p>
    <w:p w:rsidR="00084096" w:rsidRDefault="00084096" w:rsidP="004515F1">
      <w:pPr>
        <w:pStyle w:val="10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bCs w:val="0"/>
          <w:sz w:val="28"/>
          <w:szCs w:val="28"/>
        </w:rPr>
        <w:t>знан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умін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комунікаці</w:t>
      </w:r>
      <w:r>
        <w:rPr>
          <w:b w:val="0"/>
          <w:bCs w:val="0"/>
          <w:sz w:val="28"/>
          <w:szCs w:val="28"/>
        </w:rPr>
        <w:t>ї</w:t>
      </w:r>
      <w:r w:rsidRPr="00895AE8">
        <w:rPr>
          <w:b w:val="0"/>
          <w:bCs w:val="0"/>
          <w:sz w:val="28"/>
          <w:szCs w:val="28"/>
        </w:rPr>
        <w:t>, автономн</w:t>
      </w:r>
      <w:r>
        <w:rPr>
          <w:b w:val="0"/>
          <w:bCs w:val="0"/>
          <w:sz w:val="28"/>
          <w:szCs w:val="28"/>
        </w:rPr>
        <w:t>о</w:t>
      </w:r>
      <w:r w:rsidRPr="00895AE8">
        <w:rPr>
          <w:b w:val="0"/>
          <w:bCs w:val="0"/>
          <w:sz w:val="28"/>
          <w:szCs w:val="28"/>
        </w:rPr>
        <w:t>ст</w:t>
      </w:r>
      <w:r>
        <w:rPr>
          <w:b w:val="0"/>
          <w:bCs w:val="0"/>
          <w:sz w:val="28"/>
          <w:szCs w:val="28"/>
        </w:rPr>
        <w:t>і</w:t>
      </w:r>
      <w:r w:rsidRPr="00895AE8">
        <w:rPr>
          <w:b w:val="0"/>
          <w:bCs w:val="0"/>
          <w:sz w:val="28"/>
          <w:szCs w:val="28"/>
        </w:rPr>
        <w:t xml:space="preserve"> та відповідальн</w:t>
      </w:r>
      <w:r>
        <w:rPr>
          <w:b w:val="0"/>
          <w:bCs w:val="0"/>
          <w:sz w:val="28"/>
          <w:szCs w:val="28"/>
        </w:rPr>
        <w:t>ості студента за вимогами НРК під час демонстрації регламентованих робочою програмою результатів навчання.</w:t>
      </w:r>
    </w:p>
    <w:p w:rsidR="00084096" w:rsidRPr="00FF51AE" w:rsidRDefault="00084096" w:rsidP="004515F1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084096" w:rsidRDefault="00084096" w:rsidP="004515F1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конкретизації вихідних даних та способу демонстрації </w:t>
      </w:r>
      <w:r>
        <w:rPr>
          <w:sz w:val="28"/>
          <w:szCs w:val="28"/>
        </w:rPr>
        <w:t xml:space="preserve">дисциплінарних </w:t>
      </w:r>
      <w:r w:rsidRPr="00205335">
        <w:rPr>
          <w:sz w:val="28"/>
          <w:szCs w:val="28"/>
        </w:rPr>
        <w:t>результатів навчання.</w:t>
      </w:r>
    </w:p>
    <w:p w:rsidR="00084096" w:rsidRDefault="00084096" w:rsidP="004515F1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084096" w:rsidRDefault="00084096" w:rsidP="004515F1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084096" w:rsidRPr="009C2004" w:rsidRDefault="00084096" w:rsidP="004515F1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bCs/>
          <w:i/>
          <w:iCs/>
        </w:rPr>
        <w:t>З</w:t>
      </w:r>
      <w:r w:rsidRPr="009C2004">
        <w:rPr>
          <w:b/>
          <w:bCs/>
          <w:i/>
          <w:iCs/>
        </w:rPr>
        <w:t xml:space="preserve">асоби діагностики </w:t>
      </w:r>
      <w:r>
        <w:rPr>
          <w:b/>
          <w:bCs/>
          <w:i/>
          <w:iCs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20"/>
        <w:gridCol w:w="1804"/>
        <w:gridCol w:w="2045"/>
        <w:gridCol w:w="1560"/>
        <w:gridCol w:w="2736"/>
      </w:tblGrid>
      <w:tr w:rsidR="00084096" w:rsidRPr="00984C5D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ПІДСУМКОВИЙ</w:t>
            </w:r>
            <w:r w:rsidRPr="00524D35">
              <w:rPr>
                <w:b/>
                <w:bCs/>
              </w:rPr>
              <w:t xml:space="preserve"> КОНТРОЛЬ</w:t>
            </w:r>
          </w:p>
        </w:tc>
      </w:tr>
      <w:tr w:rsidR="00084096" w:rsidRPr="00E85E5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6" w:rsidRPr="00524D35" w:rsidRDefault="00084096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</w:tr>
      <w:tr w:rsidR="00084096" w:rsidRPr="00E85E5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96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084096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084096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084096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084096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96" w:rsidRDefault="00084096" w:rsidP="000A21D1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084096" w:rsidRDefault="00084096" w:rsidP="000A21D1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084096" w:rsidRPr="00E85E50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084096" w:rsidRPr="00E85E50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084096" w:rsidRPr="00524D35" w:rsidRDefault="00084096" w:rsidP="000A21D1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6" w:rsidRPr="002D0D9A" w:rsidRDefault="00084096" w:rsidP="000A21D1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084096" w:rsidRPr="00865C0D" w:rsidRDefault="00084096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084096" w:rsidRPr="00865C0D" w:rsidRDefault="00084096" w:rsidP="004515F1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084096" w:rsidRPr="00865C0D" w:rsidRDefault="00084096" w:rsidP="004515F1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084096" w:rsidRDefault="00084096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084096" w:rsidRPr="000512EA" w:rsidRDefault="00084096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084096" w:rsidRPr="00865C0D" w:rsidRDefault="00084096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084096" w:rsidRPr="00865C0D" w:rsidRDefault="00084096" w:rsidP="0075044B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084096" w:rsidRPr="00964881" w:rsidRDefault="00084096" w:rsidP="004515F1">
      <w:pPr>
        <w:pStyle w:val="BodyText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084096" w:rsidRPr="0032312C" w:rsidRDefault="00084096" w:rsidP="004515F1">
      <w:pPr>
        <w:pStyle w:val="10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 w:rsidRPr="0032312C">
        <w:rPr>
          <w:b w:val="0"/>
          <w:bCs w:val="0"/>
          <w:sz w:val="28"/>
          <w:szCs w:val="28"/>
        </w:rPr>
        <w:t xml:space="preserve">Реальні результати навчання студента ідентифікуються та вимірюються відносно очікуваних </w:t>
      </w:r>
      <w:r w:rsidRPr="0032312C">
        <w:rPr>
          <w:b w:val="0"/>
          <w:bCs w:val="0"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bCs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084096" w:rsidRPr="00810D0F" w:rsidRDefault="00084096" w:rsidP="004515F1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kern w:val="28"/>
          <w:sz w:val="28"/>
          <w:szCs w:val="28"/>
          <w:lang w:val="uk-UA"/>
        </w:rPr>
        <w:t xml:space="preserve">оцінювання </w:t>
      </w:r>
      <w:r>
        <w:rPr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kern w:val="28"/>
          <w:sz w:val="28"/>
          <w:szCs w:val="28"/>
          <w:lang w:val="uk-UA"/>
        </w:rPr>
        <w:t xml:space="preserve"> поточного контролю </w:t>
      </w:r>
      <w:r>
        <w:rPr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kern w:val="28"/>
          <w:sz w:val="28"/>
          <w:szCs w:val="28"/>
          <w:lang w:val="uk-UA"/>
        </w:rPr>
        <w:t>в якості критерія використову</w:t>
      </w:r>
      <w:r>
        <w:rPr>
          <w:kern w:val="28"/>
          <w:sz w:val="28"/>
          <w:szCs w:val="28"/>
          <w:lang w:val="uk-UA"/>
        </w:rPr>
        <w:t>ється</w:t>
      </w:r>
      <w:r w:rsidRPr="00810D0F">
        <w:rPr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kern w:val="28"/>
          <w:sz w:val="28"/>
          <w:szCs w:val="28"/>
          <w:lang w:val="uk-UA"/>
        </w:rPr>
        <w:t xml:space="preserve">що </w:t>
      </w:r>
      <w:r w:rsidRPr="00810D0F">
        <w:rPr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084096" w:rsidRPr="00810D0F" w:rsidRDefault="00084096" w:rsidP="004515F1">
      <w:pPr>
        <w:spacing w:before="120" w:after="120"/>
        <w:jc w:val="center"/>
        <w:rPr>
          <w:kern w:val="28"/>
          <w:sz w:val="28"/>
          <w:szCs w:val="28"/>
        </w:rPr>
      </w:pPr>
      <w:r w:rsidRPr="00810D0F">
        <w:rPr>
          <w:kern w:val="28"/>
          <w:sz w:val="28"/>
          <w:szCs w:val="28"/>
        </w:rPr>
        <w:t>О</w:t>
      </w:r>
      <w:r w:rsidRPr="00810D0F">
        <w:rPr>
          <w:i/>
          <w:iCs/>
          <w:kern w:val="28"/>
          <w:sz w:val="28"/>
          <w:szCs w:val="28"/>
          <w:vertAlign w:val="subscript"/>
        </w:rPr>
        <w:t>i</w:t>
      </w:r>
      <w:r w:rsidRPr="00810D0F">
        <w:rPr>
          <w:kern w:val="28"/>
          <w:sz w:val="28"/>
          <w:szCs w:val="28"/>
        </w:rPr>
        <w:t xml:space="preserve"> = 100 </w:t>
      </w:r>
      <w:r w:rsidRPr="00810D0F">
        <w:rPr>
          <w:i/>
          <w:iCs/>
          <w:kern w:val="28"/>
          <w:sz w:val="28"/>
          <w:szCs w:val="28"/>
        </w:rPr>
        <w:t>a/m</w:t>
      </w:r>
      <w:r w:rsidRPr="00810D0F">
        <w:rPr>
          <w:kern w:val="28"/>
          <w:sz w:val="28"/>
          <w:szCs w:val="28"/>
        </w:rPr>
        <w:t>,</w:t>
      </w:r>
    </w:p>
    <w:p w:rsidR="00084096" w:rsidRPr="00C078CC" w:rsidRDefault="00084096" w:rsidP="004515F1">
      <w:pPr>
        <w:pStyle w:val="10"/>
        <w:keepNext w:val="0"/>
        <w:suppressLineNumbers/>
        <w:suppressAutoHyphens/>
        <w:spacing w:before="80" w:after="0"/>
        <w:jc w:val="both"/>
        <w:rPr>
          <w:b w:val="0"/>
          <w:bCs w:val="0"/>
          <w:kern w:val="0"/>
          <w:sz w:val="28"/>
          <w:szCs w:val="28"/>
        </w:rPr>
      </w:pPr>
      <w:r w:rsidRPr="00C078CC">
        <w:rPr>
          <w:b w:val="0"/>
          <w:bCs w:val="0"/>
          <w:sz w:val="28"/>
          <w:szCs w:val="28"/>
        </w:rPr>
        <w:t xml:space="preserve">де </w:t>
      </w:r>
      <w:r w:rsidRPr="00C078CC">
        <w:rPr>
          <w:b w:val="0"/>
          <w:bCs w:val="0"/>
          <w:i/>
          <w:iCs/>
          <w:sz w:val="28"/>
          <w:szCs w:val="28"/>
        </w:rPr>
        <w:t>a</w:t>
      </w:r>
      <w:r w:rsidRPr="00C078CC">
        <w:rPr>
          <w:b w:val="0"/>
          <w:bCs w:val="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 w:val="0"/>
          <w:i/>
          <w:iCs/>
          <w:sz w:val="28"/>
          <w:szCs w:val="28"/>
        </w:rPr>
        <w:t>m</w:t>
      </w:r>
      <w:r w:rsidRPr="00C078CC">
        <w:rPr>
          <w:b w:val="0"/>
          <w:bCs w:val="0"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 w:val="0"/>
          <w:kern w:val="0"/>
          <w:sz w:val="28"/>
          <w:szCs w:val="28"/>
        </w:rPr>
        <w:t>.</w:t>
      </w:r>
    </w:p>
    <w:p w:rsidR="00084096" w:rsidRDefault="00084096" w:rsidP="004515F1">
      <w:pPr>
        <w:pStyle w:val="10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Індивідуальні завдання та к</w:t>
      </w:r>
      <w:r w:rsidRPr="002C06C3">
        <w:rPr>
          <w:b w:val="0"/>
          <w:bCs w:val="0"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 w:val="0"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 w:val="0"/>
          <w:sz w:val="28"/>
          <w:szCs w:val="28"/>
        </w:rPr>
        <w:t>.</w:t>
      </w:r>
    </w:p>
    <w:p w:rsidR="00084096" w:rsidRDefault="00084096" w:rsidP="008C6333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:rsidR="00084096" w:rsidRPr="001A6E5D" w:rsidRDefault="00084096" w:rsidP="008C6333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для </w:t>
      </w:r>
      <w:r>
        <w:rPr>
          <w:b/>
          <w:bCs/>
          <w:i/>
          <w:iCs/>
          <w:color w:val="000000"/>
        </w:rPr>
        <w:t>7</w:t>
      </w:r>
      <w:r w:rsidRPr="001A6E5D">
        <w:rPr>
          <w:b/>
          <w:bCs/>
          <w:i/>
          <w:iCs/>
          <w:color w:val="000000"/>
        </w:rPr>
        <w:t>-го кваліфікаційного рівня за НРК</w:t>
      </w:r>
    </w:p>
    <w:p w:rsidR="00084096" w:rsidRPr="001A6E5D" w:rsidRDefault="00084096" w:rsidP="008C6333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bCs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</w:t>
      </w:r>
      <w:r w:rsidRPr="00A108BA">
        <w:rPr>
          <w:color w:val="000000"/>
        </w:rPr>
        <w:t>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487"/>
        <w:gridCol w:w="5752"/>
        <w:gridCol w:w="1327"/>
      </w:tblGrid>
      <w:tr w:rsidR="00084096" w:rsidRPr="001A6E5D">
        <w:trPr>
          <w:tblHeader/>
        </w:trPr>
        <w:tc>
          <w:tcPr>
            <w:tcW w:w="1278" w:type="pct"/>
            <w:gridSpan w:val="2"/>
            <w:vAlign w:val="center"/>
          </w:tcPr>
          <w:p w:rsidR="00084096" w:rsidRPr="00A108BA" w:rsidRDefault="00084096" w:rsidP="007B0046">
            <w:pPr>
              <w:ind w:right="-16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084096" w:rsidRPr="00A108BA" w:rsidRDefault="00084096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Показник</w:t>
            </w:r>
          </w:p>
          <w:p w:rsidR="00084096" w:rsidRPr="00A108BA" w:rsidRDefault="00084096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 xml:space="preserve">оцінки </w:t>
            </w:r>
          </w:p>
        </w:tc>
      </w:tr>
      <w:tr w:rsidR="00084096" w:rsidRPr="001A6E5D">
        <w:tc>
          <w:tcPr>
            <w:tcW w:w="5000" w:type="pct"/>
            <w:gridSpan w:val="4"/>
          </w:tcPr>
          <w:p w:rsidR="00084096" w:rsidRPr="00A108BA" w:rsidRDefault="00084096" w:rsidP="007B0046">
            <w:pPr>
              <w:tabs>
                <w:tab w:val="left" w:pos="204"/>
              </w:tabs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Знання</w:t>
            </w:r>
            <w:r w:rsidRPr="00A108BA">
              <w:rPr>
                <w:b/>
                <w:bCs/>
                <w:color w:val="000000"/>
              </w:rPr>
              <w:t xml:space="preserve"> </w:t>
            </w:r>
          </w:p>
        </w:tc>
      </w:tr>
      <w:tr w:rsidR="00084096" w:rsidRPr="001A6E5D">
        <w:trPr>
          <w:trHeight w:val="280"/>
        </w:trPr>
        <w:tc>
          <w:tcPr>
            <w:tcW w:w="1278" w:type="pct"/>
            <w:gridSpan w:val="2"/>
            <w:vMerge w:val="restart"/>
          </w:tcPr>
          <w:p w:rsidR="00084096" w:rsidRPr="00A108BA" w:rsidRDefault="00084096" w:rsidP="008C6333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концептуальні</w:t>
            </w:r>
          </w:p>
          <w:p w:rsidR="00084096" w:rsidRPr="00A108BA" w:rsidRDefault="00084096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 xml:space="preserve">знання, набуті у процесі навчання та професійної діяльності, включаючи певні знання сучасних досягнень; </w:t>
            </w:r>
          </w:p>
          <w:p w:rsidR="00084096" w:rsidRPr="00A108BA" w:rsidRDefault="00084096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color w:val="000000"/>
              </w:rPr>
            </w:pPr>
          </w:p>
          <w:p w:rsidR="00084096" w:rsidRPr="00A108BA" w:rsidRDefault="00084096" w:rsidP="008C6333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критичне</w:t>
            </w:r>
          </w:p>
          <w:p w:rsidR="00084096" w:rsidRPr="00A108BA" w:rsidRDefault="00084096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осмислення основних теорій, принципів, методів і понять у навчанні та професійній діяльності</w:t>
            </w:r>
          </w:p>
          <w:p w:rsidR="00084096" w:rsidRPr="00A108BA" w:rsidRDefault="00084096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A108BA">
              <w:rPr>
                <w:sz w:val="22"/>
                <w:szCs w:val="22"/>
              </w:rPr>
              <w:t xml:space="preserve">концептуальних знань;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A108BA">
              <w:rPr>
                <w:sz w:val="22"/>
                <w:szCs w:val="22"/>
              </w:rPr>
              <w:t xml:space="preserve">високого ступеню володіння станом питання;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A108BA">
              <w:rPr>
                <w:sz w:val="22"/>
                <w:szCs w:val="22"/>
              </w:rPr>
              <w:t xml:space="preserve">критичного осмислення основних теорій, принципів, методів і понять у навчанні та професійній діяльності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95-100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pStyle w:val="ListParagraph"/>
              <w:spacing w:line="240" w:lineRule="atLeast"/>
              <w:ind w:left="0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90-94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85-89</w:t>
            </w:r>
          </w:p>
        </w:tc>
      </w:tr>
      <w:tr w:rsidR="00084096" w:rsidRPr="001A6E5D">
        <w:trPr>
          <w:trHeight w:val="267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80-84</w:t>
            </w:r>
          </w:p>
        </w:tc>
      </w:tr>
      <w:tr w:rsidR="00084096" w:rsidRPr="001A6E5D">
        <w:trPr>
          <w:trHeight w:val="412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74-79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70-73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65-69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60-64</w:t>
            </w:r>
          </w:p>
        </w:tc>
      </w:tr>
      <w:tr w:rsidR="00084096" w:rsidRPr="001A6E5D">
        <w:trPr>
          <w:trHeight w:val="504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&lt;60</w:t>
            </w:r>
          </w:p>
        </w:tc>
      </w:tr>
      <w:tr w:rsidR="00084096" w:rsidRPr="001A6E5D">
        <w:tc>
          <w:tcPr>
            <w:tcW w:w="5000" w:type="pct"/>
            <w:gridSpan w:val="4"/>
          </w:tcPr>
          <w:p w:rsidR="00084096" w:rsidRPr="00A108BA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Уміння</w:t>
            </w:r>
          </w:p>
        </w:tc>
      </w:tr>
      <w:tr w:rsidR="00084096" w:rsidRPr="001A6E5D">
        <w:tc>
          <w:tcPr>
            <w:tcW w:w="1278" w:type="pct"/>
            <w:gridSpan w:val="2"/>
            <w:vMerge w:val="restart"/>
          </w:tcPr>
          <w:p w:rsidR="00084096" w:rsidRPr="00A108BA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розв'язання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складних непередбачуваних задач і проблем у спеціалізованих сферах професійної діяльності та/або навчання, що передбачає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збирання та інтерпретацію інформації (даних), вибір методів та інструментальних засобів, застосування інноваційних підходів </w:t>
            </w:r>
            <w:r w:rsidRPr="00EE33A0">
              <w:rPr>
                <w:highlight w:val="yellow"/>
              </w:rPr>
              <w:t>;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084096" w:rsidRPr="00EE33A0" w:rsidRDefault="00084096" w:rsidP="007B0046">
            <w:pPr>
              <w:widowControl w:val="0"/>
              <w:suppressLineNumbers/>
              <w:tabs>
                <w:tab w:val="left" w:pos="264"/>
              </w:tabs>
              <w:suppressAutoHyphens/>
              <w:spacing w:line="240" w:lineRule="atLeast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Відповідь характеризує уміння: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виявляти проблеми;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формулювати гіпотези;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розв'язувати проблеми;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обирати адекватні методи та інструментальні засоби;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збирати та логічно й зрозуміло інтерпретувати інформацію;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використовувати інноваційні підходи до розв’язання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завдання </w:t>
            </w:r>
          </w:p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95-100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spacing w:line="240" w:lineRule="atLeast"/>
              <w:ind w:right="78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pStyle w:val="ListParagraph"/>
              <w:spacing w:line="240" w:lineRule="atLeast"/>
              <w:ind w:left="0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90-94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85-89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80-84</w:t>
            </w:r>
          </w:p>
        </w:tc>
      </w:tr>
      <w:tr w:rsidR="00084096" w:rsidRPr="001A6E5D">
        <w:trPr>
          <w:trHeight w:val="267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74-79</w:t>
            </w:r>
          </w:p>
        </w:tc>
      </w:tr>
      <w:tr w:rsidR="00084096" w:rsidRPr="001A6E5D">
        <w:trPr>
          <w:trHeight w:val="412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70-73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65-69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60-64</w:t>
            </w:r>
          </w:p>
        </w:tc>
      </w:tr>
      <w:tr w:rsidR="00084096" w:rsidRPr="001A6E5D">
        <w:trPr>
          <w:trHeight w:val="70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A108BA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:rsidR="00084096" w:rsidRPr="00A108BA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&lt;60</w:t>
            </w:r>
          </w:p>
        </w:tc>
      </w:tr>
      <w:tr w:rsidR="00084096" w:rsidRPr="001A6E5D">
        <w:tc>
          <w:tcPr>
            <w:tcW w:w="5000" w:type="pct"/>
            <w:gridSpan w:val="4"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Комунікація</w:t>
            </w:r>
          </w:p>
        </w:tc>
      </w:tr>
      <w:tr w:rsidR="00084096" w:rsidRPr="001A6E5D">
        <w:tc>
          <w:tcPr>
            <w:tcW w:w="1278" w:type="pct"/>
            <w:gridSpan w:val="2"/>
            <w:vMerge w:val="restart"/>
          </w:tcPr>
          <w:p w:rsidR="00084096" w:rsidRDefault="00084096" w:rsidP="007B0046">
            <w:pPr>
              <w:pStyle w:val="Default"/>
              <w:rPr>
                <w:color w:val="auto"/>
              </w:rPr>
            </w:pPr>
          </w:p>
          <w:p w:rsidR="00084096" w:rsidRPr="00A108BA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донесення до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084096" w:rsidRPr="00A108BA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здатність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ефективно формувати комунікаційну стратегію </w:t>
            </w:r>
          </w:p>
          <w:p w:rsidR="00084096" w:rsidRPr="00EE33A0" w:rsidRDefault="00084096" w:rsidP="007B0046">
            <w:pPr>
              <w:tabs>
                <w:tab w:val="left" w:pos="276"/>
              </w:tabs>
              <w:spacing w:line="240" w:lineRule="atLeast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A108BA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Вільне володіння проблематикою галузі.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Зрозумілість відповіді (доповіді). </w:t>
            </w:r>
            <w:r w:rsidRPr="00A108BA">
              <w:rPr>
                <w:sz w:val="22"/>
                <w:szCs w:val="22"/>
              </w:rPr>
              <w:t xml:space="preserve">Мова: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правильна;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чиста;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ясна;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точна;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логічна;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виразна;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лаконічна.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Комунікаційна стратегія: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послідовний і несуперечливий розвиток думки;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наявність логічних власних суджень;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доречна аргументації та її відповідність відстоюваним положенням;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правильна структура відповіді (доповіді);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правильність відповідей на запитання;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доречна техніка відповідей на запитання; </w:t>
            </w:r>
          </w:p>
          <w:p w:rsidR="00084096" w:rsidRPr="00A108BA" w:rsidRDefault="00084096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>- здатність робити висн</w:t>
            </w:r>
            <w:r>
              <w:rPr>
                <w:sz w:val="22"/>
                <w:szCs w:val="22"/>
              </w:rPr>
              <w:t xml:space="preserve">овки та формулювати пропозиції 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95-100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Достатнє володіння проблематикою галузі з незначними хибами. 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Достатня зрозумілість відповіді (доповіді) з незначними хибами. </w:t>
            </w:r>
          </w:p>
          <w:p w:rsidR="00084096" w:rsidRPr="00EE33A0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pStyle w:val="ListParagraph"/>
              <w:spacing w:line="240" w:lineRule="atLeast"/>
              <w:ind w:left="0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90-94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</w:rPr>
            </w:pPr>
            <w:r w:rsidRPr="00BA78B2">
              <w:rPr>
                <w:sz w:val="22"/>
                <w:szCs w:val="22"/>
              </w:rPr>
              <w:t xml:space="preserve">Добре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sz w:val="22"/>
                <w:szCs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85-89</w:t>
            </w:r>
          </w:p>
        </w:tc>
      </w:tr>
      <w:tr w:rsidR="00084096" w:rsidRPr="001A6E5D">
        <w:trPr>
          <w:trHeight w:val="267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</w:rPr>
            </w:pPr>
            <w:r w:rsidRPr="00BA78B2">
              <w:rPr>
                <w:sz w:val="22"/>
                <w:szCs w:val="22"/>
              </w:rPr>
              <w:t xml:space="preserve">Добре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sz w:val="22"/>
                <w:szCs w:val="22"/>
              </w:rPr>
              <w:t xml:space="preserve">Добра зрозумілість відповіді (доповіді) та доречна </w:t>
            </w:r>
          </w:p>
          <w:p w:rsidR="00084096" w:rsidRPr="00BA78B2" w:rsidRDefault="00084096" w:rsidP="007B0046">
            <w:pPr>
              <w:pStyle w:val="Default"/>
              <w:rPr>
                <w:sz w:val="22"/>
                <w:szCs w:val="22"/>
              </w:rPr>
            </w:pPr>
            <w:r w:rsidRPr="00BA78B2">
              <w:rPr>
                <w:sz w:val="22"/>
                <w:szCs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80-84</w:t>
            </w:r>
          </w:p>
        </w:tc>
      </w:tr>
      <w:tr w:rsidR="00084096" w:rsidRPr="001A6E5D">
        <w:trPr>
          <w:trHeight w:val="412"/>
        </w:trPr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</w:rPr>
            </w:pPr>
            <w:r w:rsidRPr="00BA78B2">
              <w:rPr>
                <w:sz w:val="22"/>
                <w:szCs w:val="22"/>
              </w:rPr>
              <w:t xml:space="preserve">Добре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74-79</w:t>
            </w:r>
          </w:p>
        </w:tc>
      </w:tr>
      <w:tr w:rsidR="00084096" w:rsidRPr="001A6E5D">
        <w:tc>
          <w:tcPr>
            <w:tcW w:w="1278" w:type="pct"/>
            <w:gridSpan w:val="2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Задовільне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70-73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Часткове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65-69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Фрагментарне володіння проблематикою галузі. </w:t>
            </w:r>
          </w:p>
          <w:p w:rsidR="00084096" w:rsidRPr="00BA78B2" w:rsidRDefault="00084096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60-64</w:t>
            </w:r>
          </w:p>
        </w:tc>
      </w:tr>
      <w:tr w:rsidR="00084096" w:rsidRPr="001A6E5D">
        <w:trPr>
          <w:gridBefore w:val="1"/>
          <w:trHeight w:val="190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BA78B2" w:rsidRDefault="00084096" w:rsidP="007B0046">
            <w:pPr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084096" w:rsidRPr="00BA78B2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BA78B2">
              <w:rPr>
                <w:color w:val="000000"/>
              </w:rPr>
              <w:t>&lt;60</w:t>
            </w:r>
          </w:p>
        </w:tc>
      </w:tr>
      <w:tr w:rsidR="00084096" w:rsidRPr="001A6E5D">
        <w:trPr>
          <w:gridBefore w:val="1"/>
        </w:trPr>
        <w:tc>
          <w:tcPr>
            <w:tcW w:w="5000" w:type="pct"/>
            <w:gridSpan w:val="3"/>
          </w:tcPr>
          <w:p w:rsidR="00084096" w:rsidRPr="00BA78B2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BA78B2">
              <w:rPr>
                <w:b/>
                <w:bCs/>
                <w:i/>
                <w:iCs/>
                <w:color w:val="000000"/>
              </w:rPr>
              <w:t>Автономність та відповідальність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 w:val="restart"/>
          </w:tcPr>
          <w:p w:rsidR="00084096" w:rsidRDefault="00084096" w:rsidP="007B0046">
            <w:pPr>
              <w:pStyle w:val="Default"/>
              <w:rPr>
                <w:color w:val="auto"/>
              </w:rPr>
            </w:pPr>
          </w:p>
          <w:p w:rsidR="00084096" w:rsidRPr="00640B75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084096" w:rsidRPr="00640B75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відповідальність за</w:t>
            </w:r>
          </w:p>
          <w:p w:rsidR="00084096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професійний розвиток окремих осіб та/або груп осіб;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084096" w:rsidRPr="00640B75" w:rsidRDefault="00084096" w:rsidP="008C633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здатність до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подальшого навчання з високим рівнем автономності </w:t>
            </w:r>
          </w:p>
          <w:p w:rsidR="00084096" w:rsidRPr="00EE33A0" w:rsidRDefault="00084096" w:rsidP="007B0046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b/>
                <w:bCs/>
                <w:i/>
                <w:iCs/>
                <w:color w:val="000000"/>
              </w:rPr>
            </w:pPr>
          </w:p>
          <w:p w:rsidR="00084096" w:rsidRPr="00EE33A0" w:rsidRDefault="00084096" w:rsidP="007B0046">
            <w:pPr>
              <w:widowControl w:val="0"/>
              <w:suppressLineNumbers/>
              <w:tabs>
                <w:tab w:val="left" w:pos="202"/>
              </w:tabs>
              <w:suppressAutoHyphens/>
              <w:spacing w:line="240" w:lineRule="atLeast"/>
              <w:ind w:left="-57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1) управління комплексними проектами, що передбачає: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здатність до роботи в команді;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контроль власних дій;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2) відповідальність за прийняття рішень в непередбачуваних умовах, що включає: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обґрунтування власних рішень положеннями нормативної бази галузевого та державного рівнів;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самостійність під час виконання поставлених завдань;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ініціативу в обговоренні проблем;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відповідальність за взаємовідносини;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використання професійно-орієнтовних навичок;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використання доказів із самостійною і правильною аргументацією;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володіння всіма видами навчальної діяльності;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4) здатність до подальшого навчання з високим рівнем автономності, що передбачає: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ступінь володіння фундаментальними знаннями;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самостійність оцінних суджень;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високий рівень сформованості загальнонавчальних умінь і навичок; </w:t>
            </w:r>
          </w:p>
          <w:p w:rsidR="00084096" w:rsidRPr="00640B75" w:rsidRDefault="00084096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самостійний пошук та аналіз джерел інформації </w:t>
            </w:r>
          </w:p>
          <w:p w:rsidR="00084096" w:rsidRPr="00EE33A0" w:rsidRDefault="00084096" w:rsidP="007B0046">
            <w:pPr>
              <w:pStyle w:val="ListParagraph"/>
              <w:tabs>
                <w:tab w:val="left" w:pos="258"/>
              </w:tabs>
              <w:spacing w:line="240" w:lineRule="atLeast"/>
              <w:ind w:left="0"/>
              <w:rPr>
                <w:color w:val="000000"/>
                <w:highlight w:val="yellow"/>
              </w:rPr>
            </w:pPr>
          </w:p>
        </w:tc>
        <w:tc>
          <w:tcPr>
            <w:tcW w:w="673" w:type="pct"/>
          </w:tcPr>
          <w:p w:rsidR="00084096" w:rsidRPr="00EE33A0" w:rsidRDefault="00084096" w:rsidP="007B0046">
            <w:pPr>
              <w:spacing w:line="240" w:lineRule="atLeast"/>
              <w:jc w:val="center"/>
              <w:rPr>
                <w:color w:val="000000"/>
                <w:highlight w:val="yellow"/>
              </w:rPr>
            </w:pPr>
            <w:r w:rsidRPr="00325EE9">
              <w:rPr>
                <w:color w:val="000000"/>
              </w:rPr>
              <w:t>95-100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Default="00084096" w:rsidP="007B00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Упевнене володіння компетенціями менеджменту особистості (не реалізовано дві вимоги) </w:t>
            </w:r>
          </w:p>
          <w:p w:rsidR="00084096" w:rsidRPr="00EE33A0" w:rsidRDefault="00084096" w:rsidP="007B0046">
            <w:pPr>
              <w:spacing w:line="240" w:lineRule="atLeast"/>
              <w:rPr>
                <w:color w:val="000000"/>
                <w:highlight w:val="yellow"/>
              </w:rPr>
            </w:pPr>
          </w:p>
        </w:tc>
        <w:tc>
          <w:tcPr>
            <w:tcW w:w="673" w:type="pct"/>
          </w:tcPr>
          <w:p w:rsidR="00084096" w:rsidRPr="00325EE9" w:rsidRDefault="00084096" w:rsidP="007B0046">
            <w:pPr>
              <w:pStyle w:val="ListParagraph"/>
              <w:spacing w:line="240" w:lineRule="atLeast"/>
              <w:ind w:left="0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90-94</w:t>
            </w:r>
          </w:p>
        </w:tc>
      </w:tr>
      <w:tr w:rsidR="00084096" w:rsidRPr="001A6E5D">
        <w:trPr>
          <w:gridBefore w:val="1"/>
          <w:trHeight w:val="435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640B75" w:rsidRDefault="00084096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(не реалізовано три вимоги)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85-89</w:t>
            </w:r>
          </w:p>
        </w:tc>
      </w:tr>
      <w:tr w:rsidR="00084096" w:rsidRPr="001A6E5D">
        <w:trPr>
          <w:gridBefore w:val="1"/>
          <w:trHeight w:val="538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640B75" w:rsidRDefault="00084096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 (не реалізовано чотири вимоги)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80-84</w:t>
            </w:r>
          </w:p>
        </w:tc>
      </w:tr>
      <w:tr w:rsidR="00084096" w:rsidRPr="001A6E5D">
        <w:trPr>
          <w:gridBefore w:val="1"/>
          <w:trHeight w:val="160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640B75" w:rsidRDefault="00084096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 (не реалізовано шість вимог)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74-79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325EE9" w:rsidRDefault="00084096" w:rsidP="007B0046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325EE9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325EE9">
              <w:rPr>
                <w:sz w:val="22"/>
                <w:szCs w:val="22"/>
              </w:rPr>
              <w:t>менеджменту особистості</w:t>
            </w:r>
            <w:r w:rsidRPr="00325EE9">
              <w:rPr>
                <w:color w:val="000000"/>
                <w:lang w:val="uk-UA"/>
              </w:rPr>
              <w:t xml:space="preserve"> (не реалізовано сім вимог)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70-73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325EE9" w:rsidRDefault="00084096" w:rsidP="007B0046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325EE9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325EE9">
              <w:rPr>
                <w:sz w:val="22"/>
                <w:szCs w:val="22"/>
              </w:rPr>
              <w:t>менеджменту особистості</w:t>
            </w:r>
            <w:r w:rsidRPr="00325EE9">
              <w:rPr>
                <w:color w:val="000000"/>
                <w:lang w:val="uk-UA"/>
              </w:rPr>
              <w:t xml:space="preserve"> (не реалізовано вісім вимог)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65-69</w:t>
            </w:r>
          </w:p>
        </w:tc>
      </w:tr>
      <w:tr w:rsidR="00084096" w:rsidRPr="001A6E5D">
        <w:trPr>
          <w:gridBefore w:val="1"/>
        </w:trPr>
        <w:tc>
          <w:tcPr>
            <w:tcW w:w="1278" w:type="pct"/>
            <w:vMerge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325EE9" w:rsidRDefault="00084096" w:rsidP="007B0046">
            <w:pPr>
              <w:pStyle w:val="Default"/>
              <w:rPr>
                <w:sz w:val="22"/>
                <w:szCs w:val="22"/>
              </w:rPr>
            </w:pPr>
            <w:r w:rsidRPr="00325EE9">
              <w:rPr>
                <w:sz w:val="22"/>
                <w:szCs w:val="22"/>
              </w:rPr>
              <w:t xml:space="preserve">Рівень автономності та відповідальності фрагментарний </w:t>
            </w:r>
          </w:p>
          <w:p w:rsidR="00084096" w:rsidRPr="00325EE9" w:rsidRDefault="00084096" w:rsidP="007B004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73" w:type="pct"/>
          </w:tcPr>
          <w:p w:rsidR="00084096" w:rsidRPr="00325EE9" w:rsidRDefault="00084096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60-64</w:t>
            </w:r>
          </w:p>
        </w:tc>
      </w:tr>
      <w:tr w:rsidR="00084096" w:rsidRPr="001A6E5D">
        <w:trPr>
          <w:gridBefore w:val="1"/>
          <w:trHeight w:val="190"/>
        </w:trPr>
        <w:tc>
          <w:tcPr>
            <w:tcW w:w="1278" w:type="pct"/>
          </w:tcPr>
          <w:p w:rsidR="00084096" w:rsidRPr="00EE33A0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084096" w:rsidRPr="00222784" w:rsidRDefault="00084096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222784">
              <w:rPr>
                <w:sz w:val="22"/>
                <w:szCs w:val="22"/>
                <w:lang w:val="uk-UA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673" w:type="pct"/>
          </w:tcPr>
          <w:p w:rsidR="00084096" w:rsidRPr="00325EE9" w:rsidRDefault="00084096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325EE9">
              <w:rPr>
                <w:color w:val="000000"/>
              </w:rPr>
              <w:t>&lt;60</w:t>
            </w:r>
          </w:p>
        </w:tc>
      </w:tr>
    </w:tbl>
    <w:p w:rsidR="00084096" w:rsidRDefault="00084096" w:rsidP="004515F1">
      <w:pPr>
        <w:pStyle w:val="10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</w:p>
    <w:p w:rsidR="00084096" w:rsidRPr="004A0405" w:rsidRDefault="00084096" w:rsidP="004515F1">
      <w:pPr>
        <w:pStyle w:val="Heading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9"/>
      <w:bookmarkEnd w:id="1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084096" w:rsidRDefault="00084096" w:rsidP="004515F1">
      <w:pP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514D6">
        <w:rPr>
          <w:color w:val="000000"/>
          <w:sz w:val="28"/>
          <w:szCs w:val="28"/>
        </w:rPr>
        <w:t>ехнічні засоби навчання.</w:t>
      </w:r>
    </w:p>
    <w:p w:rsidR="00084096" w:rsidRPr="000D03FA" w:rsidRDefault="00084096" w:rsidP="004515F1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Дистанційна платформа М</w:t>
      </w:r>
      <w:r>
        <w:rPr>
          <w:color w:val="000000"/>
          <w:sz w:val="28"/>
          <w:szCs w:val="28"/>
          <w:lang w:val="en-US"/>
        </w:rPr>
        <w:t>oodl</w:t>
      </w:r>
      <w:r>
        <w:rPr>
          <w:color w:val="000000"/>
          <w:sz w:val="28"/>
          <w:szCs w:val="28"/>
        </w:rPr>
        <w:t>е</w:t>
      </w:r>
      <w:r w:rsidRPr="000D03FA">
        <w:rPr>
          <w:color w:val="000000"/>
          <w:sz w:val="28"/>
          <w:szCs w:val="28"/>
        </w:rPr>
        <w:t>.</w:t>
      </w:r>
    </w:p>
    <w:p w:rsidR="00084096" w:rsidRPr="00BD08A8" w:rsidRDefault="00084096" w:rsidP="00F3454E">
      <w:pPr>
        <w:pStyle w:val="Heading1"/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РЕКОМЕНДОВАНІ ДЖЕРЕЛА </w:t>
      </w:r>
      <w:bookmarkEnd w:id="21"/>
    </w:p>
    <w:p w:rsidR="00084096" w:rsidRPr="00C05E87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  <w:r w:rsidRPr="00F3454E">
        <w:rPr>
          <w:sz w:val="28"/>
          <w:szCs w:val="28"/>
        </w:rPr>
        <w:t xml:space="preserve">1. Англійська мова для навчання і роботи. Навчальний посібник з англійської мови для студентів галузі знань 0503 Розробка корисних копалин / Кострицька С.І., Зуєнок І.І., Швець О.Д., Поперечна Н.В., </w:t>
      </w:r>
      <w:r>
        <w:rPr>
          <w:sz w:val="28"/>
          <w:szCs w:val="28"/>
        </w:rPr>
        <w:t>Дніпропетровськ, РВК НГУ, 2009.</w:t>
      </w:r>
    </w:p>
    <w:p w:rsidR="00084096" w:rsidRPr="00506F8D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</w:p>
    <w:p w:rsidR="00084096" w:rsidRPr="00C05E87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  <w:r w:rsidRPr="00F3454E">
        <w:rPr>
          <w:sz w:val="28"/>
          <w:szCs w:val="28"/>
        </w:rPr>
        <w:t xml:space="preserve">2. </w:t>
      </w:r>
      <w:r w:rsidRPr="00B021F1">
        <w:rPr>
          <w:i/>
          <w:iCs/>
          <w:sz w:val="28"/>
          <w:szCs w:val="28"/>
          <w:lang w:val="en-US"/>
        </w:rPr>
        <w:t>English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i/>
          <w:iCs/>
          <w:sz w:val="28"/>
          <w:szCs w:val="28"/>
          <w:lang w:val="en-US"/>
        </w:rPr>
        <w:t>for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i/>
          <w:iCs/>
          <w:sz w:val="28"/>
          <w:szCs w:val="28"/>
          <w:lang w:val="en-US"/>
        </w:rPr>
        <w:t>Academics</w:t>
      </w:r>
      <w:r w:rsidRPr="00B021F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US"/>
        </w:rPr>
        <w:t xml:space="preserve">Book 1. </w:t>
      </w:r>
      <w:r w:rsidRPr="00B021F1">
        <w:rPr>
          <w:sz w:val="28"/>
          <w:szCs w:val="28"/>
          <w:lang w:val="en-US"/>
        </w:rPr>
        <w:t>Cambridge</w:t>
      </w:r>
      <w:r w:rsidRPr="00B021F1">
        <w:rPr>
          <w:sz w:val="28"/>
          <w:szCs w:val="28"/>
        </w:rPr>
        <w:t xml:space="preserve"> </w:t>
      </w:r>
      <w:r w:rsidRPr="00B021F1">
        <w:rPr>
          <w:sz w:val="28"/>
          <w:szCs w:val="28"/>
          <w:lang w:val="en-US"/>
        </w:rPr>
        <w:t>University</w:t>
      </w:r>
      <w:r w:rsidRPr="00B021F1">
        <w:rPr>
          <w:sz w:val="28"/>
          <w:szCs w:val="28"/>
        </w:rPr>
        <w:t xml:space="preserve"> </w:t>
      </w:r>
      <w:r w:rsidRPr="00B021F1">
        <w:rPr>
          <w:sz w:val="28"/>
          <w:szCs w:val="28"/>
          <w:lang w:val="en-US"/>
        </w:rPr>
        <w:t>Press</w:t>
      </w:r>
      <w:r w:rsidRPr="00B021F1">
        <w:rPr>
          <w:sz w:val="28"/>
          <w:szCs w:val="28"/>
        </w:rPr>
        <w:t>. 2014.</w:t>
      </w:r>
      <w:r>
        <w:rPr>
          <w:i/>
          <w:iCs/>
          <w:sz w:val="28"/>
          <w:szCs w:val="28"/>
          <w:lang w:val="en-US"/>
        </w:rPr>
        <w:t xml:space="preserve"> - 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176p.</w:t>
      </w:r>
    </w:p>
    <w:p w:rsidR="00084096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  <w:lang w:val="en-US"/>
        </w:rPr>
      </w:pPr>
    </w:p>
    <w:p w:rsidR="00084096" w:rsidRPr="00F3454E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  <w:r w:rsidRPr="00F3454E">
        <w:rPr>
          <w:sz w:val="28"/>
          <w:szCs w:val="28"/>
        </w:rPr>
        <w:t xml:space="preserve">3. </w:t>
      </w:r>
      <w:r w:rsidRPr="00B021F1">
        <w:rPr>
          <w:i/>
          <w:iCs/>
          <w:sz w:val="28"/>
          <w:szCs w:val="28"/>
          <w:lang w:val="en-US"/>
        </w:rPr>
        <w:t>English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i/>
          <w:iCs/>
          <w:sz w:val="28"/>
          <w:szCs w:val="28"/>
          <w:lang w:val="en-US"/>
        </w:rPr>
        <w:t>for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i/>
          <w:iCs/>
          <w:sz w:val="28"/>
          <w:szCs w:val="28"/>
          <w:lang w:val="en-US"/>
        </w:rPr>
        <w:t>Academics</w:t>
      </w:r>
      <w:r w:rsidRPr="00B021F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US"/>
        </w:rPr>
        <w:t xml:space="preserve">Book 2. </w:t>
      </w:r>
      <w:r w:rsidRPr="00B021F1">
        <w:rPr>
          <w:sz w:val="28"/>
          <w:szCs w:val="28"/>
          <w:lang w:val="en-US"/>
        </w:rPr>
        <w:t>Cambridge</w:t>
      </w:r>
      <w:r w:rsidRPr="00B021F1">
        <w:rPr>
          <w:sz w:val="28"/>
          <w:szCs w:val="28"/>
        </w:rPr>
        <w:t xml:space="preserve"> </w:t>
      </w:r>
      <w:r w:rsidRPr="00B021F1">
        <w:rPr>
          <w:sz w:val="28"/>
          <w:szCs w:val="28"/>
          <w:lang w:val="en-US"/>
        </w:rPr>
        <w:t>University</w:t>
      </w:r>
      <w:r w:rsidRPr="00B021F1">
        <w:rPr>
          <w:sz w:val="28"/>
          <w:szCs w:val="28"/>
        </w:rPr>
        <w:t xml:space="preserve"> </w:t>
      </w:r>
      <w:r w:rsidRPr="00B021F1"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>. 201</w:t>
      </w:r>
      <w:r>
        <w:rPr>
          <w:sz w:val="28"/>
          <w:szCs w:val="28"/>
          <w:lang w:val="en-US"/>
        </w:rPr>
        <w:t>5</w:t>
      </w:r>
      <w:r w:rsidRPr="00B021F1">
        <w:rPr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 xml:space="preserve"> - </w:t>
      </w:r>
      <w:r w:rsidRPr="00B021F1">
        <w:rPr>
          <w:i/>
          <w:iCs/>
          <w:sz w:val="28"/>
          <w:szCs w:val="28"/>
        </w:rPr>
        <w:t xml:space="preserve"> </w:t>
      </w:r>
      <w:r w:rsidRPr="00B021F1">
        <w:rPr>
          <w:sz w:val="28"/>
          <w:szCs w:val="28"/>
        </w:rPr>
        <w:t xml:space="preserve"> </w:t>
      </w:r>
      <w:r w:rsidRPr="0075044B">
        <w:rPr>
          <w:sz w:val="28"/>
          <w:szCs w:val="28"/>
          <w:lang w:val="en-US"/>
        </w:rPr>
        <w:t>176</w:t>
      </w:r>
      <w:r>
        <w:rPr>
          <w:sz w:val="28"/>
          <w:szCs w:val="28"/>
          <w:lang w:val="en-US"/>
        </w:rPr>
        <w:t>p.</w:t>
      </w:r>
    </w:p>
    <w:p w:rsidR="00084096" w:rsidRDefault="00084096" w:rsidP="00C05E87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084096" w:rsidRPr="00F3454E" w:rsidRDefault="00084096" w:rsidP="00C05E87">
      <w:pPr>
        <w:tabs>
          <w:tab w:val="left" w:pos="0"/>
        </w:tabs>
        <w:jc w:val="both"/>
        <w:rPr>
          <w:sz w:val="28"/>
          <w:szCs w:val="28"/>
        </w:rPr>
      </w:pPr>
      <w:r w:rsidRPr="00F3454E">
        <w:rPr>
          <w:sz w:val="28"/>
          <w:szCs w:val="28"/>
        </w:rPr>
        <w:t xml:space="preserve">4. Методичні вказівки з написання англомовної  кореспонденції для студентів старших курсів усіх спеціальностей / Кострицька С.І., Бердник Л.В., Дніпропетровськ, НГА України, 1999.  </w:t>
      </w:r>
    </w:p>
    <w:p w:rsidR="00084096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  <w:lang w:val="en-US"/>
        </w:rPr>
      </w:pPr>
    </w:p>
    <w:p w:rsidR="00084096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  <w:r w:rsidRPr="00F3454E">
        <w:rPr>
          <w:sz w:val="28"/>
          <w:szCs w:val="28"/>
        </w:rPr>
        <w:t>5. Кострицька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</w:t>
      </w:r>
      <w:r>
        <w:rPr>
          <w:sz w:val="28"/>
          <w:szCs w:val="28"/>
        </w:rPr>
        <w:t>ропетровськ, РВК НГУ, 2004.– 26</w:t>
      </w:r>
      <w:r w:rsidRPr="00F3454E">
        <w:rPr>
          <w:sz w:val="28"/>
          <w:szCs w:val="28"/>
        </w:rPr>
        <w:t>с.</w:t>
      </w:r>
    </w:p>
    <w:p w:rsidR="00084096" w:rsidRPr="00506F8D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  <w:lang w:val="ru-RU"/>
        </w:rPr>
      </w:pPr>
    </w:p>
    <w:p w:rsidR="00084096" w:rsidRPr="00F3454E" w:rsidRDefault="00084096" w:rsidP="00C05E87">
      <w:pPr>
        <w:tabs>
          <w:tab w:val="left" w:pos="-180"/>
        </w:tabs>
        <w:ind w:right="-82"/>
        <w:jc w:val="both"/>
        <w:rPr>
          <w:sz w:val="28"/>
          <w:szCs w:val="28"/>
        </w:rPr>
      </w:pPr>
      <w:r w:rsidRPr="00F3454E">
        <w:rPr>
          <w:sz w:val="28"/>
          <w:szCs w:val="28"/>
        </w:rPr>
        <w:t xml:space="preserve">6. Практикум з тестування навичок англійської мови / Кострицька С.І., Київ, 1996.  </w:t>
      </w:r>
    </w:p>
    <w:p w:rsidR="00084096" w:rsidRPr="00506F8D" w:rsidRDefault="00084096" w:rsidP="00C05E87">
      <w:pPr>
        <w:shd w:val="clear" w:color="auto" w:fill="FFFFFF"/>
        <w:rPr>
          <w:sz w:val="28"/>
          <w:szCs w:val="28"/>
          <w:lang w:val="ru-RU"/>
        </w:rPr>
      </w:pPr>
    </w:p>
    <w:p w:rsidR="00084096" w:rsidRPr="00C05E87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F3454E"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 xml:space="preserve">Anne Vicary. </w:t>
      </w:r>
      <w:r w:rsidRPr="00C05E87">
        <w:rPr>
          <w:i/>
          <w:iCs/>
          <w:sz w:val="28"/>
          <w:szCs w:val="28"/>
          <w:lang w:val="en-US"/>
        </w:rPr>
        <w:t>Grammar for writing</w:t>
      </w:r>
      <w:r>
        <w:rPr>
          <w:sz w:val="28"/>
          <w:szCs w:val="28"/>
          <w:lang w:val="en-US"/>
        </w:rPr>
        <w:t>. University of Reading, 2010. – 244p.</w:t>
      </w:r>
    </w:p>
    <w:p w:rsidR="00084096" w:rsidRDefault="00084096" w:rsidP="00C05E87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F3454E">
        <w:rPr>
          <w:color w:val="000000"/>
          <w:sz w:val="28"/>
          <w:szCs w:val="28"/>
        </w:rPr>
        <w:t xml:space="preserve">8. </w:t>
      </w:r>
      <w:hyperlink r:id="rId5" w:history="1">
        <w:r w:rsidRPr="00B021F1">
          <w:rPr>
            <w:sz w:val="28"/>
            <w:szCs w:val="28"/>
            <w:lang w:val="en-US"/>
          </w:rPr>
          <w:t>Alice Oshima</w:t>
        </w:r>
      </w:hyperlink>
      <w:r w:rsidRPr="00B021F1">
        <w:rPr>
          <w:sz w:val="28"/>
          <w:szCs w:val="28"/>
          <w:lang w:val="en-US"/>
        </w:rPr>
        <w:t> and </w:t>
      </w:r>
      <w:hyperlink r:id="rId6" w:history="1">
        <w:r w:rsidRPr="00B021F1">
          <w:rPr>
            <w:sz w:val="28"/>
            <w:szCs w:val="28"/>
            <w:lang w:val="en-US"/>
          </w:rPr>
          <w:t>Ann Hogue</w:t>
        </w:r>
      </w:hyperlink>
      <w:r>
        <w:rPr>
          <w:sz w:val="28"/>
          <w:szCs w:val="28"/>
          <w:lang w:val="en-US"/>
        </w:rPr>
        <w:t>.</w:t>
      </w:r>
      <w:r w:rsidRPr="00C05E87">
        <w:rPr>
          <w:sz w:val="28"/>
          <w:szCs w:val="28"/>
          <w:lang w:val="en-US"/>
        </w:rPr>
        <w:t xml:space="preserve"> </w:t>
      </w:r>
      <w:r w:rsidRPr="00C05E87">
        <w:rPr>
          <w:sz w:val="28"/>
          <w:szCs w:val="28"/>
          <w:lang w:val="en-US"/>
        </w:rPr>
        <w:fldChar w:fldCharType="begin"/>
      </w:r>
      <w:r w:rsidRPr="00C05E87">
        <w:rPr>
          <w:sz w:val="28"/>
          <w:szCs w:val="28"/>
          <w:lang w:val="en-US"/>
        </w:rPr>
        <w:instrText xml:space="preserve"> HYPERLINK "https://www.amazon.com/Writing-Academic-English-Fourth-Longman/dp/0131523597/ref=sr_1_9/146-7291985-8889602?s=books&amp;ie=UTF8&amp;qid=1549871689&amp;sr=1-9&amp;keywords=English+for+Academic+Study%3A+Grammar+for+Writing" \o "Writing Academic English, Fourth Edition (The Longman Academic Writing Series, Level 4)" </w:instrText>
      </w:r>
      <w:r w:rsidRPr="001270FB">
        <w:rPr>
          <w:sz w:val="28"/>
          <w:szCs w:val="28"/>
          <w:lang w:val="en-US"/>
        </w:rPr>
      </w:r>
      <w:r w:rsidRPr="00C05E87">
        <w:rPr>
          <w:sz w:val="28"/>
          <w:szCs w:val="28"/>
          <w:lang w:val="en-US"/>
        </w:rPr>
        <w:fldChar w:fldCharType="separate"/>
      </w:r>
      <w:r w:rsidRPr="00B021F1">
        <w:rPr>
          <w:i/>
          <w:iCs/>
          <w:sz w:val="28"/>
          <w:szCs w:val="28"/>
          <w:lang w:val="en-US"/>
        </w:rPr>
        <w:t>Writing Academic English, Fourth Edition</w:t>
      </w:r>
      <w:r>
        <w:rPr>
          <w:sz w:val="28"/>
          <w:szCs w:val="28"/>
          <w:lang w:val="en-US"/>
        </w:rPr>
        <w:t xml:space="preserve">. </w:t>
      </w:r>
      <w:r w:rsidRPr="00B021F1">
        <w:rPr>
          <w:sz w:val="28"/>
          <w:szCs w:val="28"/>
          <w:lang w:val="en-US"/>
        </w:rPr>
        <w:t>The Longman A</w:t>
      </w:r>
      <w:r>
        <w:rPr>
          <w:sz w:val="28"/>
          <w:szCs w:val="28"/>
          <w:lang w:val="en-US"/>
        </w:rPr>
        <w:t>cademic Writing Series, Level 4. 2006  – 213p.</w:t>
      </w:r>
    </w:p>
    <w:p w:rsidR="00084096" w:rsidRPr="00C05E87" w:rsidRDefault="00084096" w:rsidP="00C05E87">
      <w:pPr>
        <w:shd w:val="clear" w:color="auto" w:fill="FFFFFF"/>
        <w:rPr>
          <w:rFonts w:ascii="Arial" w:hAnsi="Arial" w:cs="Arial"/>
          <w:color w:val="949494"/>
          <w:sz w:val="20"/>
          <w:szCs w:val="20"/>
          <w:lang w:val="en-US"/>
        </w:rPr>
      </w:pPr>
      <w:r w:rsidRPr="00C05E87">
        <w:rPr>
          <w:sz w:val="28"/>
          <w:szCs w:val="28"/>
          <w:lang w:val="en-US"/>
        </w:rPr>
        <w:fldChar w:fldCharType="end"/>
      </w: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F3454E">
        <w:rPr>
          <w:color w:val="000000"/>
          <w:sz w:val="28"/>
          <w:szCs w:val="28"/>
        </w:rPr>
        <w:t xml:space="preserve">9.  </w:t>
      </w:r>
      <w:r w:rsidRPr="00B021F1">
        <w:rPr>
          <w:sz w:val="28"/>
          <w:szCs w:val="28"/>
          <w:lang w:val="en-US"/>
        </w:rPr>
        <w:t>Wendy Sahanaya</w:t>
      </w:r>
      <w:r>
        <w:rPr>
          <w:sz w:val="28"/>
          <w:szCs w:val="28"/>
          <w:lang w:val="en-US"/>
        </w:rPr>
        <w:t xml:space="preserve">. </w:t>
      </w:r>
      <w:r w:rsidRPr="00C05E87">
        <w:rPr>
          <w:sz w:val="28"/>
          <w:szCs w:val="28"/>
          <w:lang w:val="en-US"/>
        </w:rPr>
        <w:t xml:space="preserve"> </w:t>
      </w:r>
      <w:r w:rsidRPr="00C05E87">
        <w:rPr>
          <w:sz w:val="28"/>
          <w:szCs w:val="28"/>
          <w:lang w:val="en-US"/>
        </w:rPr>
        <w:fldChar w:fldCharType="begin"/>
      </w:r>
      <w:r w:rsidRPr="00C05E87">
        <w:rPr>
          <w:sz w:val="28"/>
          <w:szCs w:val="28"/>
          <w:lang w:val="en-US"/>
        </w:rPr>
        <w:instrText xml:space="preserve"> HYPERLINK "https://www.amazon.com/Preparation-Practice-Reading-Writing-Academics/dp/0195679105/ref=sr_1_2?s=books&amp;ie=UTF8&amp;qid=1549871795&amp;sr=1-2&amp;keywords=IELTS+Preparation+and+Practice%2C+Reading+and+Writing+-+Academic+Module" \o "Ielts Preparation And Practice Reading And Writing Academics Module" </w:instrText>
      </w:r>
      <w:r w:rsidRPr="001270FB">
        <w:rPr>
          <w:sz w:val="28"/>
          <w:szCs w:val="28"/>
          <w:lang w:val="en-US"/>
        </w:rPr>
      </w:r>
      <w:r w:rsidRPr="00C05E87">
        <w:rPr>
          <w:sz w:val="28"/>
          <w:szCs w:val="28"/>
          <w:lang w:val="en-US"/>
        </w:rPr>
        <w:fldChar w:fldCharType="separate"/>
      </w:r>
      <w:r w:rsidRPr="00C05E87">
        <w:rPr>
          <w:i/>
          <w:iCs/>
          <w:sz w:val="28"/>
          <w:szCs w:val="28"/>
          <w:lang w:val="en-US"/>
        </w:rPr>
        <w:t>IELTS</w:t>
      </w:r>
      <w:r w:rsidRPr="00B021F1">
        <w:rPr>
          <w:i/>
          <w:iCs/>
          <w:sz w:val="28"/>
          <w:szCs w:val="28"/>
          <w:lang w:val="en-US"/>
        </w:rPr>
        <w:t xml:space="preserve"> Preparation And Practice Reading And Writing Academics Module</w:t>
      </w:r>
      <w:r>
        <w:rPr>
          <w:i/>
          <w:iCs/>
          <w:sz w:val="28"/>
          <w:szCs w:val="28"/>
          <w:lang w:val="en-US"/>
        </w:rPr>
        <w:t xml:space="preserve">. </w:t>
      </w:r>
      <w:r w:rsidRPr="00E84C11">
        <w:rPr>
          <w:sz w:val="28"/>
          <w:szCs w:val="28"/>
          <w:lang w:val="en-US"/>
        </w:rPr>
        <w:t xml:space="preserve">Oxford University Press 2006. – </w:t>
      </w:r>
      <w:r>
        <w:rPr>
          <w:i/>
          <w:iCs/>
          <w:sz w:val="28"/>
          <w:szCs w:val="28"/>
          <w:lang w:val="en-US"/>
        </w:rPr>
        <w:t>178p.</w:t>
      </w:r>
    </w:p>
    <w:p w:rsidR="00084096" w:rsidRPr="00E84C11" w:rsidRDefault="00084096" w:rsidP="00E84C11">
      <w:pPr>
        <w:shd w:val="clear" w:color="auto" w:fill="FFFFFF"/>
        <w:rPr>
          <w:rFonts w:ascii="Arial" w:hAnsi="Arial" w:cs="Arial"/>
          <w:color w:val="949494"/>
          <w:sz w:val="20"/>
          <w:szCs w:val="20"/>
          <w:lang w:val="en-US"/>
        </w:rPr>
      </w:pPr>
      <w:r w:rsidRPr="00C05E87">
        <w:rPr>
          <w:sz w:val="28"/>
          <w:szCs w:val="28"/>
          <w:lang w:val="en-US"/>
        </w:rPr>
        <w:fldChar w:fldCharType="end"/>
      </w: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C05E87">
        <w:rPr>
          <w:sz w:val="28"/>
          <w:szCs w:val="28"/>
        </w:rPr>
        <w:t xml:space="preserve">10. </w:t>
      </w:r>
      <w:r w:rsidRPr="00E84C11">
        <w:rPr>
          <w:rFonts w:ascii="Arial" w:hAnsi="Arial" w:cs="Arial"/>
          <w:shd w:val="clear" w:color="auto" w:fill="FFFFFF"/>
        </w:rPr>
        <w:t> </w:t>
      </w:r>
      <w:hyperlink r:id="rId7" w:history="1">
        <w:r w:rsidRPr="00E84C11">
          <w:rPr>
            <w:sz w:val="28"/>
            <w:szCs w:val="28"/>
            <w:shd w:val="clear" w:color="auto" w:fill="FFFFFF"/>
          </w:rPr>
          <w:t>Michael McCarthy</w:t>
        </w:r>
      </w:hyperlink>
      <w:r w:rsidRPr="00E84C11">
        <w:rPr>
          <w:sz w:val="28"/>
          <w:szCs w:val="28"/>
          <w:shd w:val="clear" w:color="auto" w:fill="FFFFFF"/>
        </w:rPr>
        <w:t> and Felicity O'De</w:t>
      </w:r>
      <w:r w:rsidRPr="00E84C11">
        <w:rPr>
          <w:rFonts w:ascii="Arial" w:hAnsi="Arial" w:cs="Arial"/>
          <w:shd w:val="clear" w:color="auto" w:fill="FFFFFF"/>
        </w:rPr>
        <w:t>ll</w:t>
      </w:r>
      <w:r w:rsidRPr="00B021F1">
        <w:rPr>
          <w:sz w:val="28"/>
          <w:szCs w:val="28"/>
          <w:lang w:val="en-US"/>
        </w:rPr>
        <w:t xml:space="preserve"> </w:t>
      </w:r>
      <w:r w:rsidRPr="00E84C11">
        <w:rPr>
          <w:i/>
          <w:iCs/>
          <w:sz w:val="28"/>
          <w:szCs w:val="28"/>
          <w:lang w:val="en-US"/>
        </w:rPr>
        <w:fldChar w:fldCharType="begin"/>
      </w:r>
      <w:r w:rsidRPr="00E84C11">
        <w:rPr>
          <w:i/>
          <w:iCs/>
          <w:sz w:val="28"/>
          <w:szCs w:val="28"/>
          <w:lang w:val="en-US"/>
        </w:rPr>
        <w:instrText xml:space="preserve"> HYPERLINK "https://www.amazon.com/Academic-Vocabulary-Answers-Michael-McCarthy/dp/110759166X/ref=sr_1_1?s=books&amp;ie=UTF8&amp;qid=1549871841&amp;sr=1-1&amp;keywords=Academic+Vocabulary+in+Use+Edition" \o "Academic Vocabulary in Use Edition with Answers" </w:instrText>
      </w:r>
      <w:r w:rsidRPr="001270FB">
        <w:rPr>
          <w:i/>
          <w:iCs/>
          <w:sz w:val="28"/>
          <w:szCs w:val="28"/>
          <w:lang w:val="en-US"/>
        </w:rPr>
      </w:r>
      <w:r w:rsidRPr="00E84C11">
        <w:rPr>
          <w:i/>
          <w:iCs/>
          <w:sz w:val="28"/>
          <w:szCs w:val="28"/>
          <w:lang w:val="en-US"/>
        </w:rPr>
        <w:fldChar w:fldCharType="separate"/>
      </w:r>
      <w:r w:rsidRPr="00B021F1">
        <w:rPr>
          <w:i/>
          <w:iCs/>
          <w:sz w:val="28"/>
          <w:szCs w:val="28"/>
          <w:lang w:val="en-US"/>
        </w:rPr>
        <w:t>Academic Vocabu</w:t>
      </w:r>
      <w:r w:rsidRPr="00E84C11">
        <w:rPr>
          <w:i/>
          <w:iCs/>
          <w:sz w:val="28"/>
          <w:szCs w:val="28"/>
          <w:lang w:val="en-US"/>
        </w:rPr>
        <w:t>lary in Use</w:t>
      </w:r>
      <w:r>
        <w:rPr>
          <w:i/>
          <w:iCs/>
          <w:sz w:val="28"/>
          <w:szCs w:val="28"/>
          <w:lang w:val="en-US"/>
        </w:rPr>
        <w:t xml:space="preserve">. </w:t>
      </w:r>
      <w:r w:rsidRPr="00E84C11">
        <w:rPr>
          <w:sz w:val="28"/>
          <w:szCs w:val="28"/>
          <w:lang w:val="en-US"/>
        </w:rPr>
        <w:t xml:space="preserve">Cambridge University Press, 2016 – 182p. </w:t>
      </w:r>
    </w:p>
    <w:p w:rsidR="00084096" w:rsidRPr="00C05E87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E84C11">
        <w:rPr>
          <w:i/>
          <w:iCs/>
          <w:sz w:val="28"/>
          <w:szCs w:val="28"/>
          <w:lang w:val="en-US"/>
        </w:rPr>
        <w:fldChar w:fldCharType="end"/>
      </w: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C05E87">
        <w:rPr>
          <w:sz w:val="28"/>
          <w:szCs w:val="28"/>
        </w:rPr>
        <w:t xml:space="preserve">11. </w:t>
      </w:r>
      <w:hyperlink r:id="rId8" w:history="1">
        <w:r w:rsidRPr="00B021F1">
          <w:rPr>
            <w:sz w:val="28"/>
            <w:szCs w:val="28"/>
            <w:lang w:val="en-US"/>
          </w:rPr>
          <w:t>Stuart Redman</w:t>
        </w:r>
      </w:hyperlink>
      <w:r w:rsidRPr="00B021F1">
        <w:rPr>
          <w:sz w:val="28"/>
          <w:szCs w:val="28"/>
          <w:lang w:val="en-US"/>
        </w:rPr>
        <w:t> and Lawrence J. Zwier</w:t>
      </w:r>
      <w:r>
        <w:rPr>
          <w:sz w:val="28"/>
          <w:szCs w:val="28"/>
          <w:lang w:val="en-US"/>
        </w:rPr>
        <w:t>.</w:t>
      </w:r>
      <w:r w:rsidRPr="00C05E87">
        <w:rPr>
          <w:sz w:val="28"/>
          <w:szCs w:val="28"/>
          <w:lang w:val="en-US"/>
        </w:rPr>
        <w:t xml:space="preserve"> </w:t>
      </w:r>
      <w:r w:rsidRPr="00C05E87">
        <w:rPr>
          <w:sz w:val="28"/>
          <w:szCs w:val="28"/>
          <w:lang w:val="en-US"/>
        </w:rPr>
        <w:fldChar w:fldCharType="begin"/>
      </w:r>
      <w:r w:rsidRPr="00C05E87">
        <w:rPr>
          <w:sz w:val="28"/>
          <w:szCs w:val="28"/>
          <w:lang w:val="en-US"/>
        </w:rPr>
        <w:instrText xml:space="preserve"> HYPERLINK "https://www.amazon.com/Vocabulary-Intermediate-Students-Book-Answers/dp/0521123755/ref=sr_1_2?s=books&amp;ie=UTF8&amp;qid=1549871841&amp;sr=1-2&amp;keywords=Academic+Vocabulary+in+Use+Edition" \o "Vocabulary in Use Intermediate Student's Book with Answers, 2nd Edition" </w:instrText>
      </w:r>
      <w:r w:rsidRPr="001270FB">
        <w:rPr>
          <w:sz w:val="28"/>
          <w:szCs w:val="28"/>
          <w:lang w:val="en-US"/>
        </w:rPr>
      </w:r>
      <w:r w:rsidRPr="00C05E87">
        <w:rPr>
          <w:sz w:val="28"/>
          <w:szCs w:val="28"/>
          <w:lang w:val="en-US"/>
        </w:rPr>
        <w:fldChar w:fldCharType="separate"/>
      </w:r>
      <w:r w:rsidRPr="00B021F1">
        <w:rPr>
          <w:i/>
          <w:iCs/>
          <w:sz w:val="28"/>
          <w:szCs w:val="28"/>
          <w:lang w:val="en-US"/>
        </w:rPr>
        <w:t>Vocabulary in Use Intermediate Student's Book with Answers, 2nd Edition</w:t>
      </w:r>
      <w:r w:rsidRPr="00E84C11">
        <w:rPr>
          <w:i/>
          <w:iCs/>
          <w:sz w:val="28"/>
          <w:szCs w:val="28"/>
          <w:lang w:val="en-US"/>
        </w:rPr>
        <w:t>.</w:t>
      </w:r>
      <w:r w:rsidRPr="00E84C11">
        <w:t xml:space="preserve"> </w:t>
      </w:r>
      <w:r>
        <w:rPr>
          <w:sz w:val="28"/>
          <w:szCs w:val="28"/>
          <w:lang w:val="en-US"/>
        </w:rPr>
        <w:t>Cambridge University Press, 2010</w:t>
      </w:r>
      <w:r w:rsidRPr="00E84C11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168</w:t>
      </w:r>
      <w:r w:rsidRPr="00E84C11">
        <w:rPr>
          <w:sz w:val="28"/>
          <w:szCs w:val="28"/>
          <w:lang w:val="en-US"/>
        </w:rPr>
        <w:t>p.</w:t>
      </w: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C05E87">
        <w:rPr>
          <w:sz w:val="28"/>
          <w:szCs w:val="28"/>
          <w:lang w:val="en-US"/>
        </w:rPr>
        <w:fldChar w:fldCharType="end"/>
      </w:r>
      <w:r w:rsidRPr="00E84C11">
        <w:rPr>
          <w:sz w:val="28"/>
          <w:szCs w:val="28"/>
          <w:lang w:val="en-US"/>
        </w:rPr>
        <w:t xml:space="preserve"> </w:t>
      </w:r>
      <w:r w:rsidRPr="00B021F1">
        <w:rPr>
          <w:sz w:val="28"/>
          <w:szCs w:val="28"/>
          <w:lang w:val="en-US"/>
        </w:rPr>
        <w:fldChar w:fldCharType="begin"/>
      </w:r>
      <w:r w:rsidRPr="00B021F1">
        <w:rPr>
          <w:sz w:val="28"/>
          <w:szCs w:val="28"/>
          <w:lang w:val="en-US"/>
        </w:rPr>
        <w:instrText xml:space="preserve"> HYPERLINK "https://www.amazon.com/Focus-Academic-Skills-IELTS-Morgan/dp/0582837936/ref=sr_1_4?s=books&amp;ie=UTF8&amp;qid=1549871896&amp;sr=1-4&amp;keywords=Focus+on+Academic+Skills+IELTS" \o "Focus on Academic Skills IELTS" </w:instrText>
      </w:r>
      <w:r w:rsidRPr="001270FB">
        <w:rPr>
          <w:sz w:val="28"/>
          <w:szCs w:val="28"/>
          <w:lang w:val="en-US"/>
        </w:rPr>
      </w:r>
      <w:r w:rsidRPr="00B021F1">
        <w:rPr>
          <w:sz w:val="28"/>
          <w:szCs w:val="28"/>
          <w:lang w:val="en-US"/>
        </w:rPr>
        <w:fldChar w:fldCharType="separate"/>
      </w:r>
    </w:p>
    <w:p w:rsidR="00084096" w:rsidRPr="00B021F1" w:rsidRDefault="00084096" w:rsidP="00C05E87">
      <w:pPr>
        <w:shd w:val="clear" w:color="auto" w:fill="FFFFFF"/>
        <w:outlineLvl w:val="1"/>
        <w:rPr>
          <w:sz w:val="28"/>
          <w:szCs w:val="28"/>
          <w:lang w:val="en-US"/>
        </w:rPr>
      </w:pPr>
      <w:r w:rsidRPr="00C05E87">
        <w:rPr>
          <w:sz w:val="28"/>
          <w:szCs w:val="28"/>
          <w:lang w:val="en-US"/>
        </w:rPr>
        <w:t xml:space="preserve">12. </w:t>
      </w:r>
      <w:r w:rsidRPr="00B021F1">
        <w:rPr>
          <w:sz w:val="28"/>
          <w:szCs w:val="28"/>
          <w:lang w:val="en-US"/>
        </w:rPr>
        <w:t>Morgan Terry and Judith Wilson</w:t>
      </w:r>
      <w:r>
        <w:rPr>
          <w:sz w:val="28"/>
          <w:szCs w:val="28"/>
          <w:lang w:val="en-US"/>
        </w:rPr>
        <w:t>.</w:t>
      </w:r>
      <w:r w:rsidRPr="00C05E87">
        <w:rPr>
          <w:sz w:val="28"/>
          <w:szCs w:val="28"/>
          <w:lang w:val="en-US"/>
        </w:rPr>
        <w:t xml:space="preserve"> </w:t>
      </w:r>
      <w:r w:rsidRPr="00B021F1">
        <w:rPr>
          <w:i/>
          <w:iCs/>
          <w:sz w:val="28"/>
          <w:szCs w:val="28"/>
          <w:lang w:val="en-US"/>
        </w:rPr>
        <w:t>Focus on Academic Skills IELTS</w:t>
      </w:r>
      <w:r>
        <w:rPr>
          <w:i/>
          <w:iCs/>
          <w:sz w:val="28"/>
          <w:szCs w:val="28"/>
          <w:lang w:val="en-US"/>
        </w:rPr>
        <w:t xml:space="preserve">. </w:t>
      </w:r>
      <w:r w:rsidRPr="00E84C11">
        <w:rPr>
          <w:sz w:val="28"/>
          <w:szCs w:val="28"/>
          <w:lang w:val="en-US"/>
        </w:rPr>
        <w:t>Longman,</w:t>
      </w:r>
    </w:p>
    <w:p w:rsidR="00084096" w:rsidRPr="00B021F1" w:rsidRDefault="00084096" w:rsidP="00C05E87">
      <w:pPr>
        <w:shd w:val="clear" w:color="auto" w:fill="FFFFFF"/>
        <w:rPr>
          <w:sz w:val="28"/>
          <w:szCs w:val="28"/>
          <w:lang w:val="en-US"/>
        </w:rPr>
      </w:pPr>
      <w:r w:rsidRPr="00B021F1">
        <w:rPr>
          <w:sz w:val="28"/>
          <w:szCs w:val="28"/>
          <w:lang w:val="en-US"/>
        </w:rPr>
        <w:fldChar w:fldCharType="end"/>
      </w:r>
      <w:r w:rsidRPr="00B021F1">
        <w:rPr>
          <w:sz w:val="28"/>
          <w:szCs w:val="28"/>
          <w:lang w:val="en-US"/>
        </w:rPr>
        <w:t>2004</w:t>
      </w:r>
      <w:r>
        <w:rPr>
          <w:sz w:val="28"/>
          <w:szCs w:val="28"/>
          <w:lang w:val="en-US"/>
        </w:rPr>
        <w:t>. – 184p.</w:t>
      </w:r>
    </w:p>
    <w:p w:rsidR="00084096" w:rsidRPr="00C05E87" w:rsidRDefault="00084096" w:rsidP="00C05E87">
      <w:pPr>
        <w:spacing w:after="120"/>
        <w:jc w:val="both"/>
        <w:rPr>
          <w:sz w:val="28"/>
          <w:szCs w:val="28"/>
          <w:lang w:val="en-US"/>
        </w:rPr>
      </w:pPr>
    </w:p>
    <w:p w:rsidR="00084096" w:rsidRPr="00C14500" w:rsidRDefault="00084096" w:rsidP="00C14500">
      <w:pPr>
        <w:spacing w:after="160" w:line="259" w:lineRule="auto"/>
        <w:rPr>
          <w:sz w:val="28"/>
          <w:szCs w:val="28"/>
        </w:rPr>
      </w:pPr>
    </w:p>
    <w:sectPr w:rsidR="00084096" w:rsidRPr="00C14500" w:rsidSect="00EE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5F1"/>
    <w:rsid w:val="000512EA"/>
    <w:rsid w:val="0006510C"/>
    <w:rsid w:val="00084096"/>
    <w:rsid w:val="00093E57"/>
    <w:rsid w:val="000A21D1"/>
    <w:rsid w:val="000A4D98"/>
    <w:rsid w:val="000B268E"/>
    <w:rsid w:val="000D03FA"/>
    <w:rsid w:val="000E5B22"/>
    <w:rsid w:val="000E5BF7"/>
    <w:rsid w:val="001270FB"/>
    <w:rsid w:val="00140448"/>
    <w:rsid w:val="001620F7"/>
    <w:rsid w:val="001A6E5D"/>
    <w:rsid w:val="001B1297"/>
    <w:rsid w:val="001B2ED6"/>
    <w:rsid w:val="001F2EEC"/>
    <w:rsid w:val="00205335"/>
    <w:rsid w:val="00222784"/>
    <w:rsid w:val="00225B42"/>
    <w:rsid w:val="0023101B"/>
    <w:rsid w:val="0024301F"/>
    <w:rsid w:val="00267E37"/>
    <w:rsid w:val="00274767"/>
    <w:rsid w:val="002B0B64"/>
    <w:rsid w:val="002C06C3"/>
    <w:rsid w:val="002D0D9A"/>
    <w:rsid w:val="002D61C5"/>
    <w:rsid w:val="002D79B1"/>
    <w:rsid w:val="002E652D"/>
    <w:rsid w:val="002F0950"/>
    <w:rsid w:val="00322396"/>
    <w:rsid w:val="0032312C"/>
    <w:rsid w:val="00325EE9"/>
    <w:rsid w:val="003E65D6"/>
    <w:rsid w:val="003E73BF"/>
    <w:rsid w:val="004024DC"/>
    <w:rsid w:val="00407CCB"/>
    <w:rsid w:val="004446AF"/>
    <w:rsid w:val="004515F1"/>
    <w:rsid w:val="004A0405"/>
    <w:rsid w:val="004E1199"/>
    <w:rsid w:val="00504DAF"/>
    <w:rsid w:val="00506F8D"/>
    <w:rsid w:val="00524D35"/>
    <w:rsid w:val="005409DC"/>
    <w:rsid w:val="00546498"/>
    <w:rsid w:val="00597E49"/>
    <w:rsid w:val="005A400C"/>
    <w:rsid w:val="005F00FB"/>
    <w:rsid w:val="00640B75"/>
    <w:rsid w:val="006E58D5"/>
    <w:rsid w:val="006E5ACF"/>
    <w:rsid w:val="00725E91"/>
    <w:rsid w:val="0073509A"/>
    <w:rsid w:val="0075044B"/>
    <w:rsid w:val="00791150"/>
    <w:rsid w:val="007B0046"/>
    <w:rsid w:val="007F073E"/>
    <w:rsid w:val="00800FE1"/>
    <w:rsid w:val="00805D9A"/>
    <w:rsid w:val="00810D0F"/>
    <w:rsid w:val="0084281C"/>
    <w:rsid w:val="00847F31"/>
    <w:rsid w:val="008655EC"/>
    <w:rsid w:val="00865C0D"/>
    <w:rsid w:val="00867B60"/>
    <w:rsid w:val="008920E3"/>
    <w:rsid w:val="00895AE8"/>
    <w:rsid w:val="008A47B5"/>
    <w:rsid w:val="008C6333"/>
    <w:rsid w:val="008C7D28"/>
    <w:rsid w:val="00942013"/>
    <w:rsid w:val="009572D4"/>
    <w:rsid w:val="00964881"/>
    <w:rsid w:val="00983A8E"/>
    <w:rsid w:val="00984C5D"/>
    <w:rsid w:val="009C2004"/>
    <w:rsid w:val="009D4E00"/>
    <w:rsid w:val="00A02E43"/>
    <w:rsid w:val="00A108BA"/>
    <w:rsid w:val="00A23A7C"/>
    <w:rsid w:val="00A45786"/>
    <w:rsid w:val="00A65CB1"/>
    <w:rsid w:val="00A7510E"/>
    <w:rsid w:val="00AA6C83"/>
    <w:rsid w:val="00AC78DA"/>
    <w:rsid w:val="00B021F1"/>
    <w:rsid w:val="00B3542B"/>
    <w:rsid w:val="00B901E6"/>
    <w:rsid w:val="00B92F53"/>
    <w:rsid w:val="00BA78B2"/>
    <w:rsid w:val="00BD08A8"/>
    <w:rsid w:val="00C05E87"/>
    <w:rsid w:val="00C078CC"/>
    <w:rsid w:val="00C13054"/>
    <w:rsid w:val="00C14500"/>
    <w:rsid w:val="00C64F11"/>
    <w:rsid w:val="00C66A98"/>
    <w:rsid w:val="00C9404D"/>
    <w:rsid w:val="00CB4A48"/>
    <w:rsid w:val="00CF0B94"/>
    <w:rsid w:val="00D06347"/>
    <w:rsid w:val="00D21820"/>
    <w:rsid w:val="00D514D6"/>
    <w:rsid w:val="00D857BB"/>
    <w:rsid w:val="00DD7950"/>
    <w:rsid w:val="00E113EE"/>
    <w:rsid w:val="00E31962"/>
    <w:rsid w:val="00E50CED"/>
    <w:rsid w:val="00E84C11"/>
    <w:rsid w:val="00E85E50"/>
    <w:rsid w:val="00EA6A44"/>
    <w:rsid w:val="00EA7DEB"/>
    <w:rsid w:val="00EB75D9"/>
    <w:rsid w:val="00ED334A"/>
    <w:rsid w:val="00EE33A0"/>
    <w:rsid w:val="00EE34CC"/>
    <w:rsid w:val="00F23A25"/>
    <w:rsid w:val="00F3454E"/>
    <w:rsid w:val="00F74369"/>
    <w:rsid w:val="00F9192A"/>
    <w:rsid w:val="00FD03B9"/>
    <w:rsid w:val="00FD72A1"/>
    <w:rsid w:val="00FF465F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15F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5F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1F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5F1"/>
    <w:rPr>
      <w:rFonts w:ascii="Calibri Light" w:hAnsi="Calibri Light" w:cs="Calibri Light"/>
      <w:color w:val="2F5496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1F1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515F1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15F1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4515F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15F1"/>
    <w:rPr>
      <w:rFonts w:ascii="Times New Roman" w:hAnsi="Times New Roman" w:cs="Times New Roman"/>
      <w:spacing w:val="20"/>
      <w:sz w:val="20"/>
      <w:szCs w:val="20"/>
      <w:lang w:val="uk-UA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51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15F1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4515F1"/>
    <w:rPr>
      <w:b/>
      <w:bCs/>
      <w:color w:val="991813"/>
      <w:u w:val="none"/>
      <w:effect w:val="none"/>
    </w:rPr>
  </w:style>
  <w:style w:type="paragraph" w:customStyle="1" w:styleId="1">
    <w:name w:val="Обычный1"/>
    <w:uiPriority w:val="99"/>
    <w:rsid w:val="004515F1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szCs w:val="28"/>
      <w:lang w:val="uk-UA"/>
    </w:rPr>
  </w:style>
  <w:style w:type="paragraph" w:styleId="NormalWeb">
    <w:name w:val="Normal (Web)"/>
    <w:basedOn w:val="Normal"/>
    <w:uiPriority w:val="99"/>
    <w:rsid w:val="004515F1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4515F1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4515F1"/>
    <w:pPr>
      <w:spacing w:line="259" w:lineRule="auto"/>
      <w:outlineLvl w:val="9"/>
    </w:pPr>
    <w:rPr>
      <w:lang w:val="ru-RU"/>
    </w:rPr>
  </w:style>
  <w:style w:type="paragraph" w:styleId="TOC1">
    <w:name w:val="toc 1"/>
    <w:basedOn w:val="Normal"/>
    <w:next w:val="Normal"/>
    <w:autoRedefine/>
    <w:uiPriority w:val="99"/>
    <w:semiHidden/>
    <w:rsid w:val="004515F1"/>
    <w:pPr>
      <w:spacing w:after="100"/>
    </w:pPr>
  </w:style>
  <w:style w:type="paragraph" w:customStyle="1" w:styleId="Default">
    <w:name w:val="Default"/>
    <w:uiPriority w:val="99"/>
    <w:rsid w:val="004515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подзаголовок1"/>
    <w:basedOn w:val="Normal"/>
    <w:uiPriority w:val="99"/>
    <w:rsid w:val="004515F1"/>
    <w:pPr>
      <w:keepNext/>
      <w:spacing w:before="240" w:after="60"/>
    </w:pPr>
    <w:rPr>
      <w:b/>
      <w:bCs/>
      <w:kern w:val="28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rsid w:val="00F345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454E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tuart-Redman/e/B001IOH56Y/ref=sr_ntt_srch_lnk_2?qid=1549871841&amp;sr=1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Michael-McCarthy/e/B01NAELHWD/ref=sr_ntt_srch_lnk_1?qid=1549872690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Ann-Hogue/e/B001IGOP38/ref=sr_ntt_srch_lnk_9?qid=1549871689&amp;sr=1-9" TargetMode="External"/><Relationship Id="rId5" Type="http://schemas.openxmlformats.org/officeDocument/2006/relationships/hyperlink" Target="https://www.amazon.com/Alice-Oshima/e/B001IGQQX0/ref=sr_ntt_srch_lnk_9?qid=1549871689&amp;sr=1-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12</Pages>
  <Words>3351</Words>
  <Characters>19106</Characters>
  <Application>Microsoft Office Outlook</Application>
  <DocSecurity>0</DocSecurity>
  <Lines>0</Lines>
  <Paragraphs>0</Paragraphs>
  <ScaleCrop>false</ScaleCrop>
  <Company>Кафедра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О.В. Хазова</dc:creator>
  <cp:keywords/>
  <dc:description/>
  <cp:lastModifiedBy>KostritskayaSI</cp:lastModifiedBy>
  <cp:revision>13</cp:revision>
  <dcterms:created xsi:type="dcterms:W3CDTF">2019-02-11T18:57:00Z</dcterms:created>
  <dcterms:modified xsi:type="dcterms:W3CDTF">2019-02-14T13:36:00Z</dcterms:modified>
</cp:coreProperties>
</file>